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E" w:rsidRPr="00FA0CDE" w:rsidRDefault="00FA0CDE" w:rsidP="00FA0C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90F8A">
        <w:rPr>
          <w:rFonts w:ascii="Times New Roman" w:eastAsia="Times New Roman" w:hAnsi="Times New Roman" w:cs="Times New Roman"/>
          <w:b/>
          <w:bCs/>
          <w:sz w:val="24"/>
          <w:szCs w:val="24"/>
        </w:rPr>
        <w:t>АО «Самарская сетевая компания»</w:t>
      </w: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физических лиц с максимальной мощностью до 15 кВт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присоединения  впервые вводимых в эксплуатацию, ранее присоединенных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или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FA0CDE" w:rsidRPr="009A68C0" w:rsidRDefault="00FA0CDE" w:rsidP="00FA0C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договора;</w:t>
      </w:r>
    </w:p>
    <w:p w:rsidR="00FA0CDE" w:rsidRPr="009A68C0" w:rsidRDefault="00FA0CDE" w:rsidP="00FA0C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договора. 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- 1 год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20301" w:rsidRPr="009A68C0" w:rsidRDefault="00C20301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FA0CDE" w:rsidRPr="00FA0CDE" w:rsidTr="009A68C0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0CDE" w:rsidRPr="00FA0CDE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FA0CDE" w:rsidRPr="00FA0CDE" w:rsidRDefault="00FA0CDE" w:rsidP="00890F8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90F8A" w:rsidRPr="00890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АО «Самарская сетевая компания» </w:t>
            </w:r>
          </w:p>
        </w:tc>
        <w:tc>
          <w:tcPr>
            <w:tcW w:w="6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 8-10, 14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  <w:r w:rsidRPr="00FA0CDE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FA0CD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Заключение договора об осуществлении технологического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FA0CDE" w:rsidRPr="00FA0CDE" w:rsidRDefault="00FA0CDE" w:rsidP="00D55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 отсутствия сведений  (документов) </w:t>
            </w:r>
            <w:r w:rsidR="00EB5075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D5581A"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</w:t>
            </w:r>
            <w:proofErr w:type="gramEnd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FA0CDE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2.3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получения от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мотивированного требования о приведении проекта договора в соответствие с Правилами</w:t>
            </w:r>
            <w:proofErr w:type="gramEnd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15(1)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3.1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16(4), 17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16.1, 18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244013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FA0CDE" w:rsidRPr="00FA0CDE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FA0CDE" w:rsidRPr="00FA0CDE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Пункты 8</w:t>
            </w:r>
            <w:r w:rsidR="00CA2CCC">
              <w:rPr>
                <w:rFonts w:ascii="Times New Roman" w:eastAsia="Times New Roman" w:hAnsi="Times New Roman" w:cs="Times New Roman"/>
              </w:rPr>
              <w:t>2</w:t>
            </w:r>
            <w:r w:rsidRPr="00FA0CDE">
              <w:rPr>
                <w:rFonts w:ascii="Times New Roman" w:eastAsia="Times New Roman" w:hAnsi="Times New Roman" w:cs="Times New Roman"/>
              </w:rPr>
              <w:t>-</w:t>
            </w:r>
            <w:r w:rsidR="00CA2CCC">
              <w:rPr>
                <w:rFonts w:ascii="Times New Roman" w:eastAsia="Times New Roman" w:hAnsi="Times New Roman" w:cs="Times New Roman"/>
              </w:rPr>
              <w:t>90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FA0CDE" w:rsidRPr="00FA0CDE" w:rsidRDefault="00244013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FA0CDE" w:rsidRPr="00FA0CDE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FA0CDE" w:rsidRPr="00FA0CDE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FA0CDE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FA0C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244013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FA0CDE" w:rsidRPr="00FA0CDE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FA0CDE" w:rsidRPr="00FA0CDE">
              <w:rPr>
                <w:rFonts w:ascii="Times New Roman" w:eastAsia="Times New Roman" w:hAnsi="Times New Roman" w:cs="Times New Roman"/>
              </w:rPr>
              <w:t xml:space="preserve"> допуска в эксплуатацию </w:t>
            </w:r>
            <w:r w:rsidR="00FA0CDE" w:rsidRPr="00FA0CDE">
              <w:rPr>
                <w:rFonts w:ascii="Times New Roman" w:eastAsia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В день проведения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FA0CDE">
              <w:rPr>
                <w:rFonts w:ascii="Calibri" w:eastAsia="Times New Roman" w:hAnsi="Calibri" w:cs="Times New Roman"/>
              </w:rPr>
              <w:t xml:space="preserve">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FA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FA0CDE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Присоединение объектов заявителя к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 Фактическое присоединение объектов заявителя к электрическим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Пункты 7, 18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962EF">
        <w:trPr>
          <w:trHeight w:val="170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20301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FA0CDE" w:rsidRPr="00FA0CDE" w:rsidRDefault="00FA0CDE" w:rsidP="0049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A0CDE" w:rsidRPr="00FA0CDE" w:rsidRDefault="00FA0CDE" w:rsidP="0049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FA0CDE" w:rsidRPr="00FA0CDE" w:rsidRDefault="00FA0CDE" w:rsidP="0049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FA0CDE" w:rsidRPr="00FA0CDE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A23F35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ОБРАЩЕНИЙ: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A23F35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23F35">
        <w:rPr>
          <w:rFonts w:ascii="Calibri" w:eastAsia="Times New Roman" w:hAnsi="Calibri" w:cs="Times New Roman"/>
        </w:rPr>
        <w:t xml:space="preserve"> TSOK@ssk63.ru</w:t>
      </w:r>
    </w:p>
    <w:p w:rsidR="00FA0CDE" w:rsidRPr="00EB0C5F" w:rsidRDefault="00FA0CDE" w:rsidP="00FA0CDE">
      <w:pPr>
        <w:rPr>
          <w:rFonts w:ascii="Calibri" w:eastAsia="Times New Roman" w:hAnsi="Calibri" w:cs="Times New Roman"/>
          <w:szCs w:val="24"/>
        </w:rPr>
      </w:pPr>
    </w:p>
    <w:p w:rsidR="00FA0CDE" w:rsidRDefault="00FA0CDE"/>
    <w:sectPr w:rsidR="00FA0CDE" w:rsidSect="009A68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13" w:rsidRDefault="00244013" w:rsidP="00FA0CDE">
      <w:pPr>
        <w:spacing w:after="0" w:line="240" w:lineRule="auto"/>
      </w:pPr>
      <w:r>
        <w:separator/>
      </w:r>
    </w:p>
  </w:endnote>
  <w:endnote w:type="continuationSeparator" w:id="0">
    <w:p w:rsidR="00244013" w:rsidRDefault="00244013" w:rsidP="00F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13" w:rsidRDefault="00244013" w:rsidP="00FA0CDE">
      <w:pPr>
        <w:spacing w:after="0" w:line="240" w:lineRule="auto"/>
      </w:pPr>
      <w:r>
        <w:separator/>
      </w:r>
    </w:p>
  </w:footnote>
  <w:footnote w:type="continuationSeparator" w:id="0">
    <w:p w:rsidR="00244013" w:rsidRDefault="00244013" w:rsidP="00FA0CDE">
      <w:pPr>
        <w:spacing w:after="0" w:line="240" w:lineRule="auto"/>
      </w:pPr>
      <w:r>
        <w:continuationSeparator/>
      </w:r>
    </w:p>
  </w:footnote>
  <w:footnote w:id="1">
    <w:p w:rsidR="00FA0CDE" w:rsidRDefault="00FA0CDE" w:rsidP="00FA0CDE">
      <w:pPr>
        <w:pStyle w:val="a3"/>
      </w:pPr>
      <w:r>
        <w:rPr>
          <w:rStyle w:val="a5"/>
        </w:rPr>
        <w:footnoteRef/>
      </w:r>
      <w:r>
        <w:t xml:space="preserve"> </w:t>
      </w:r>
      <w:r w:rsidRPr="00F728EC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F728EC">
        <w:rPr>
          <w:rFonts w:ascii="Times New Roman" w:hAnsi="Times New Roman"/>
        </w:rPr>
        <w:t>энергопринимающих</w:t>
      </w:r>
      <w:proofErr w:type="spellEnd"/>
      <w:r w:rsidRPr="00F728EC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A0CDE" w:rsidRDefault="00FA0CDE" w:rsidP="00FA0CD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FF702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F702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E"/>
    <w:rsid w:val="000022ED"/>
    <w:rsid w:val="000F5093"/>
    <w:rsid w:val="00187292"/>
    <w:rsid w:val="00244013"/>
    <w:rsid w:val="002A7857"/>
    <w:rsid w:val="002D6E4F"/>
    <w:rsid w:val="002F475E"/>
    <w:rsid w:val="003D0103"/>
    <w:rsid w:val="004962EF"/>
    <w:rsid w:val="004F695A"/>
    <w:rsid w:val="00544EC5"/>
    <w:rsid w:val="005976F6"/>
    <w:rsid w:val="005B5A78"/>
    <w:rsid w:val="006B1664"/>
    <w:rsid w:val="006D21BC"/>
    <w:rsid w:val="006D75AC"/>
    <w:rsid w:val="007B278D"/>
    <w:rsid w:val="008064A6"/>
    <w:rsid w:val="00890F8A"/>
    <w:rsid w:val="0090674A"/>
    <w:rsid w:val="009A68C0"/>
    <w:rsid w:val="00A23F35"/>
    <w:rsid w:val="00A61A78"/>
    <w:rsid w:val="00C16866"/>
    <w:rsid w:val="00C20301"/>
    <w:rsid w:val="00C262FC"/>
    <w:rsid w:val="00CA2CCC"/>
    <w:rsid w:val="00D5581A"/>
    <w:rsid w:val="00D81117"/>
    <w:rsid w:val="00DA0B75"/>
    <w:rsid w:val="00DE11A8"/>
    <w:rsid w:val="00DE45AD"/>
    <w:rsid w:val="00EB393E"/>
    <w:rsid w:val="00EB5075"/>
    <w:rsid w:val="00FA0CD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8</cp:revision>
  <cp:lastPrinted>2016-11-30T07:33:00Z</cp:lastPrinted>
  <dcterms:created xsi:type="dcterms:W3CDTF">2016-12-13T08:10:00Z</dcterms:created>
  <dcterms:modified xsi:type="dcterms:W3CDTF">2017-12-01T12:12:00Z</dcterms:modified>
</cp:coreProperties>
</file>