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DA" w:rsidRDefault="009170DA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bookmarkEnd w:id="0"/>
      <w:r>
        <w:br/>
      </w:r>
    </w:p>
    <w:p w:rsidR="009170DA" w:rsidRDefault="009170DA">
      <w:pPr>
        <w:pStyle w:val="ConsPlusNormal"/>
        <w:jc w:val="both"/>
        <w:outlineLvl w:val="0"/>
      </w:pPr>
    </w:p>
    <w:p w:rsidR="009170DA" w:rsidRDefault="009170DA">
      <w:pPr>
        <w:pStyle w:val="ConsPlusNormal"/>
        <w:outlineLvl w:val="0"/>
      </w:pPr>
      <w:r>
        <w:t>Зарегистрировано в департаменте ценового и тарифного регулирования Самарской области 29 ноября 2024 г. N ДЦТ-24-479</w:t>
      </w:r>
    </w:p>
    <w:p w:rsidR="009170DA" w:rsidRDefault="009170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Title"/>
        <w:jc w:val="center"/>
      </w:pPr>
      <w:r>
        <w:t>ДЕПАРТАМЕНТ ЦЕНОВОГО И ТАРИФНОГО РЕГУЛИРОВАНИЯ</w:t>
      </w:r>
    </w:p>
    <w:p w:rsidR="009170DA" w:rsidRDefault="009170DA">
      <w:pPr>
        <w:pStyle w:val="ConsPlusTitle"/>
        <w:jc w:val="center"/>
      </w:pPr>
      <w:r>
        <w:t>САМАРСКОЙ ОБЛАСТИ</w:t>
      </w:r>
    </w:p>
    <w:p w:rsidR="009170DA" w:rsidRDefault="009170DA">
      <w:pPr>
        <w:pStyle w:val="ConsPlusTitle"/>
        <w:jc w:val="both"/>
      </w:pPr>
    </w:p>
    <w:p w:rsidR="009170DA" w:rsidRDefault="009170DA">
      <w:pPr>
        <w:pStyle w:val="ConsPlusTitle"/>
        <w:jc w:val="center"/>
      </w:pPr>
      <w:r>
        <w:t>ПРИКАЗ</w:t>
      </w:r>
    </w:p>
    <w:p w:rsidR="009170DA" w:rsidRDefault="009170DA">
      <w:pPr>
        <w:pStyle w:val="ConsPlusTitle"/>
        <w:jc w:val="center"/>
      </w:pPr>
      <w:r>
        <w:t>от 29 ноября 2024 г. N 479</w:t>
      </w:r>
    </w:p>
    <w:p w:rsidR="009170DA" w:rsidRDefault="009170DA">
      <w:pPr>
        <w:pStyle w:val="ConsPlusTitle"/>
        <w:jc w:val="both"/>
      </w:pPr>
    </w:p>
    <w:p w:rsidR="009170DA" w:rsidRDefault="009170DA">
      <w:pPr>
        <w:pStyle w:val="ConsPlusTitle"/>
        <w:jc w:val="center"/>
      </w:pPr>
      <w:r>
        <w:t>ОБ УТВЕРЖДЕНИИ СТАНДАРТИЗИРОВАННЫХ ТАРИФНЫХ СТАВОК, ФОРМУЛЫ</w:t>
      </w:r>
    </w:p>
    <w:p w:rsidR="009170DA" w:rsidRDefault="009170DA">
      <w:pPr>
        <w:pStyle w:val="ConsPlusTitle"/>
        <w:jc w:val="center"/>
      </w:pPr>
      <w:r>
        <w:t>ПЛАТЫ ЗА ТЕХНОЛОГИЧЕСКОЕ ПРИСОЕДИНЕНИЕ К ЭЛЕКТРИЧЕСКИМ СЕТЯМ</w:t>
      </w:r>
    </w:p>
    <w:p w:rsidR="009170DA" w:rsidRDefault="009170DA">
      <w:pPr>
        <w:pStyle w:val="ConsPlusTitle"/>
        <w:jc w:val="center"/>
      </w:pPr>
      <w:r>
        <w:t>ТЕРРИТОРИАЛЬНЫХ СЕТЕВЫХ ОРГАНИЗАЦИЙ САМАРСКОЙ ОБЛАСТИ</w:t>
      </w:r>
    </w:p>
    <w:p w:rsidR="009170DA" w:rsidRDefault="009170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70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DA" w:rsidRDefault="009170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DA" w:rsidRDefault="009170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0DA" w:rsidRDefault="009170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0DA" w:rsidRDefault="009170D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ценового и тарифного регулирования Самарской</w:t>
            </w:r>
          </w:p>
          <w:p w:rsidR="009170DA" w:rsidRDefault="009170DA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21.05.2025 </w:t>
            </w:r>
            <w:hyperlink r:id="rId5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30.07.2025 </w:t>
            </w:r>
            <w:hyperlink r:id="rId6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DA" w:rsidRDefault="009170DA">
            <w:pPr>
              <w:pStyle w:val="ConsPlusNormal"/>
            </w:pPr>
          </w:p>
        </w:tc>
      </w:tr>
    </w:tbl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"Об электроэнергетике",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27.12.2004 N 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(далее - Правила), руководствуясь Методическими </w:t>
      </w:r>
      <w:hyperlink r:id="rId10">
        <w:r>
          <w:rPr>
            <w:color w:val="0000FF"/>
          </w:rPr>
          <w:t>указаниями</w:t>
        </w:r>
      </w:hyperlink>
      <w:r>
        <w:t xml:space="preserve"> по определению размера платы за технологическое присоединение к электрическим сетям, утвержденными приказом ФАС России от 30.06.2022 N 490/22 (далее - Методические указания),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10.10.2018 N 582 "Об утверждении Положения о департаменте ценового и тарифного регулирования Самарской области", с учетом заключений экспертной группы, руководствуясь протоколом заседания коллегии департамента ценового и тарифного регулирования Самарской области от 29.11.2024 N 8-э, приказываю: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1. Утвердить на период с 1 января 2025 года по 31 декабря 2025 года: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1) единые стандартизированные тарифные </w:t>
      </w:r>
      <w:hyperlink w:anchor="P58">
        <w:r>
          <w:rPr>
            <w:color w:val="0000FF"/>
          </w:rPr>
          <w:t>ставки</w:t>
        </w:r>
      </w:hyperlink>
      <w:r>
        <w:t xml:space="preserve">, применяемые для определения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электросетевого хозяйства к электрическим сетям территориальных сетевых организаций Самарской области (приложение N 1);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2) </w:t>
      </w:r>
      <w:hyperlink w:anchor="P359">
        <w:r>
          <w:rPr>
            <w:color w:val="0000FF"/>
          </w:rPr>
          <w:t>формулы</w:t>
        </w:r>
      </w:hyperlink>
      <w:r>
        <w:t xml:space="preserve"> для расчета платы за технологическое присоединение к электрическим сетям территориальных сетевых организаций Самарской области (приложение N 2).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2. Плата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заявителей к электрическим сетям территориальных сетевых организаций определяется:</w:t>
      </w:r>
    </w:p>
    <w:p w:rsidR="009170DA" w:rsidRDefault="009170DA">
      <w:pPr>
        <w:pStyle w:val="ConsPlusNormal"/>
        <w:spacing w:before="220"/>
        <w:ind w:firstLine="540"/>
        <w:jc w:val="both"/>
      </w:pPr>
      <w:bookmarkStart w:id="1" w:name="P22"/>
      <w:bookmarkEnd w:id="1"/>
      <w:r>
        <w:t xml:space="preserve">2.1. В случае технологического присоединения объектов, указанных в </w:t>
      </w:r>
      <w:hyperlink r:id="rId12">
        <w:r>
          <w:rPr>
            <w:color w:val="0000FF"/>
          </w:rPr>
          <w:t>абзацах четвертом</w:t>
        </w:r>
      </w:hyperlink>
      <w:r>
        <w:t xml:space="preserve"> и </w:t>
      </w:r>
      <w:hyperlink r:id="rId13">
        <w:r>
          <w:rPr>
            <w:color w:val="0000FF"/>
          </w:rPr>
          <w:t>пятом пункта 17</w:t>
        </w:r>
      </w:hyperlink>
      <w:r>
        <w:t xml:space="preserve"> Правил и отнесенных к третьей категории надежности (по одному источнику </w:t>
      </w:r>
      <w:r>
        <w:lastRenderedPageBreak/>
        <w:t xml:space="preserve">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плата за технологическое присоединение определяется в размере минимального из следующих значений: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стоимость мероприятий по технологическому присоединению, рассчитанная с применением единых стандартизированных тарифных ставок, установленных настоящим приказом;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стоимость мероприятий по технологическому присоединению, рассчитанная с применением льготной ставки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 в размере 10000,00 рубля (с учетом НДС) за 1 кВт;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2.2. В отношении категорий заявителей, указанных в </w:t>
      </w:r>
      <w:hyperlink r:id="rId14">
        <w:r>
          <w:rPr>
            <w:color w:val="0000FF"/>
          </w:rPr>
          <w:t>абзацах одиннадцатом</w:t>
        </w:r>
      </w:hyperlink>
      <w:r>
        <w:t xml:space="preserve"> - </w:t>
      </w:r>
      <w:hyperlink r:id="rId15">
        <w:r>
          <w:rPr>
            <w:color w:val="0000FF"/>
          </w:rPr>
          <w:t>девятнадцатом пункта 17</w:t>
        </w:r>
      </w:hyperlink>
      <w:r>
        <w:t xml:space="preserve"> Правил, в случае представления заявителем документов, оформленных уполномоченным федеральным органом исполнительной власти (уполномоченным исполнительным органом государственной власти Самарской области, </w:t>
      </w:r>
      <w:proofErr w:type="spellStart"/>
      <w:r>
        <w:t>управомоченным</w:t>
      </w:r>
      <w:proofErr w:type="spellEnd"/>
      <w:r>
        <w:t xml:space="preserve"> им государственным учреждением, уполномоченным органом местного самоуправления), подтверждающих соответствие заявителя категории, установленной </w:t>
      </w:r>
      <w:hyperlink r:id="rId16">
        <w:r>
          <w:rPr>
            <w:color w:val="0000FF"/>
          </w:rPr>
          <w:t>абзацами одиннадцатым</w:t>
        </w:r>
      </w:hyperlink>
      <w:r>
        <w:t xml:space="preserve"> - </w:t>
      </w:r>
      <w:hyperlink r:id="rId17">
        <w:r>
          <w:rPr>
            <w:color w:val="0000FF"/>
          </w:rPr>
          <w:t>девятнадцатым пункта 17</w:t>
        </w:r>
      </w:hyperlink>
      <w:r>
        <w:t xml:space="preserve"> Правил, при присоединении </w:t>
      </w:r>
      <w:proofErr w:type="spellStart"/>
      <w:r>
        <w:t>энергопринимающих</w:t>
      </w:r>
      <w:proofErr w:type="spellEnd"/>
      <w:r>
        <w:t xml:space="preserve"> устройств заявителя, владеющего объектами, отнесенными к третьей категории 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 напряжения 0,4 </w:t>
      </w:r>
      <w:proofErr w:type="spellStart"/>
      <w:r>
        <w:t>кВ</w:t>
      </w:r>
      <w:proofErr w:type="spellEnd"/>
      <w:r>
        <w:t xml:space="preserve"> и ниже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плата за технологическое присоединение объектов </w:t>
      </w:r>
      <w:proofErr w:type="spellStart"/>
      <w:r>
        <w:t>микрогенерации</w:t>
      </w:r>
      <w:proofErr w:type="spellEnd"/>
      <w:r>
        <w:t xml:space="preserve">, в том числе за одновременное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и объектов </w:t>
      </w:r>
      <w:proofErr w:type="spellStart"/>
      <w:r>
        <w:t>микрогенерации</w:t>
      </w:r>
      <w:proofErr w:type="spellEnd"/>
      <w:r>
        <w:t xml:space="preserve">, и </w:t>
      </w:r>
      <w:proofErr w:type="spellStart"/>
      <w:r>
        <w:t>энергопринимающих</w:t>
      </w:r>
      <w:proofErr w:type="spellEnd"/>
      <w:r>
        <w:t xml:space="preserve">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определяется в размере минимального из следующих значений: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стоимость мероприятий по технологическому присоединению, рассчитанная с применением единых стандартизированных тарифных ставок, установленных настоящим приказом;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стоимость мероприятий по технологическому присоединению, рассчитанная с применением льготной ставки за 1 кВт запрашиваемой максимальной мощности в отношении всей совокупности таких мероприятий для соответствующих случаев технологического присоединения в размере 1198,77 рубля (с учетом НДС) за 1 кВт;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2.3. В отношении </w:t>
      </w:r>
      <w:proofErr w:type="spellStart"/>
      <w:r>
        <w:t>энергопринимающих</w:t>
      </w:r>
      <w:proofErr w:type="spellEnd"/>
      <w:r>
        <w:t xml:space="preserve"> устройств заявителей, указанных в </w:t>
      </w:r>
      <w:hyperlink r:id="rId18">
        <w:r>
          <w:rPr>
            <w:color w:val="0000FF"/>
          </w:rPr>
          <w:t>пункте 12(1)</w:t>
        </w:r>
      </w:hyperlink>
      <w:r>
        <w:t xml:space="preserve"> Правил, присоединяемых по третьей категории надежности (по одному источнику электроснабжения) к объектам электросетевого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этих </w:t>
      </w:r>
      <w:proofErr w:type="spellStart"/>
      <w:r>
        <w:t>энергопринимающих</w:t>
      </w:r>
      <w:proofErr w:type="spellEnd"/>
      <w:r>
        <w:t xml:space="preserve">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не включаются расходы, связанные со строительством объектов электросетевого хозяйства - от существующих объектов электросетевого хозяйства до присоединяемых </w:t>
      </w:r>
      <w:proofErr w:type="spellStart"/>
      <w:r>
        <w:t>энергопринимающих</w:t>
      </w:r>
      <w:proofErr w:type="spellEnd"/>
      <w:r>
        <w:t xml:space="preserve"> устройств и (или) объектов электроэнергетики;</w:t>
      </w:r>
    </w:p>
    <w:p w:rsidR="009170DA" w:rsidRDefault="009170DA">
      <w:pPr>
        <w:pStyle w:val="ConsPlusNormal"/>
        <w:spacing w:before="220"/>
        <w:ind w:firstLine="540"/>
        <w:jc w:val="both"/>
      </w:pPr>
      <w:bookmarkStart w:id="2" w:name="P29"/>
      <w:bookmarkEnd w:id="2"/>
      <w:r>
        <w:t xml:space="preserve">2.4. В случае подачи заявки юридическим лицом или индивидуальным предпринимателем в целях технологического присоединения объектов </w:t>
      </w:r>
      <w:proofErr w:type="spellStart"/>
      <w:r>
        <w:t>микрогенерации</w:t>
      </w:r>
      <w:proofErr w:type="spellEnd"/>
      <w:r>
        <w:t xml:space="preserve">, а также одновременного технологического присоединения объектов </w:t>
      </w:r>
      <w:proofErr w:type="spellStart"/>
      <w:r>
        <w:t>микрогенерации</w:t>
      </w:r>
      <w:proofErr w:type="spellEnd"/>
      <w:r>
        <w:t xml:space="preserve"> и </w:t>
      </w:r>
      <w:proofErr w:type="spellStart"/>
      <w:r>
        <w:t>энергопринимающих</w:t>
      </w:r>
      <w:proofErr w:type="spellEnd"/>
      <w:r>
        <w:t xml:space="preserve"> устройств </w:t>
      </w:r>
      <w:r>
        <w:lastRenderedPageBreak/>
        <w:t xml:space="preserve">максимальной мощностью не более 150 кВт (с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присоединяемых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этих </w:t>
      </w:r>
      <w:proofErr w:type="spellStart"/>
      <w:r>
        <w:t>энергопринимающих</w:t>
      </w:r>
      <w:proofErr w:type="spellEnd"/>
      <w:r>
        <w:t xml:space="preserve"> устройств и (или) объектов </w:t>
      </w:r>
      <w:proofErr w:type="spellStart"/>
      <w:r>
        <w:t>микрогенерации</w:t>
      </w:r>
      <w:proofErr w:type="spellEnd"/>
      <w:r>
        <w:t xml:space="preserve">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не включаются расходы, связанные со строительством объектов электросетевого хозяйства - от существующих объектов электросетевого хозяйства до присоединяемых </w:t>
      </w:r>
      <w:proofErr w:type="spellStart"/>
      <w:r>
        <w:t>энергопринимающих</w:t>
      </w:r>
      <w:proofErr w:type="spellEnd"/>
      <w:r>
        <w:t xml:space="preserve"> устройств и (или) объектов электроэнергетики, а стоимость мероприятий по технологическому присоединению объектов </w:t>
      </w:r>
      <w:proofErr w:type="spellStart"/>
      <w:r>
        <w:t>микрогенерации</w:t>
      </w:r>
      <w:proofErr w:type="spellEnd"/>
      <w:r>
        <w:t xml:space="preserve"> определяется в размере минимального из следующих значений: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- стоимость мероприятий по технологическому присоединению, рассчитанная с применением стандартизированных тарифных ставок, установленных настоящим приказом;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- стоимость мероприятий по технологическому присоединению, рассчитанная с применением льготной ставки за 1 кВт запрашиваемой максимальной мощности в размере 10000,00 рубля (с учетом НДС) за 1 кВт;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2.5. Положения о размере платы за технологическое присоединение, указанные в </w:t>
      </w:r>
      <w:hyperlink w:anchor="P22">
        <w:r>
          <w:rPr>
            <w:color w:val="0000FF"/>
          </w:rPr>
          <w:t>подпунктах 2.1</w:t>
        </w:r>
      </w:hyperlink>
      <w:r>
        <w:t xml:space="preserve"> - </w:t>
      </w:r>
      <w:hyperlink w:anchor="P29">
        <w:r>
          <w:rPr>
            <w:color w:val="0000FF"/>
          </w:rPr>
          <w:t>2.4</w:t>
        </w:r>
      </w:hyperlink>
      <w:r>
        <w:t xml:space="preserve"> настоящего приказа, не могут быть применены в следующих случаях: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), принадлежащих лицам, которым права владения и (или) пользования земельным участком (в том числе при его использовании без предоставления на основании разрешения) и (или) объектом капитального строительства (нежилым помещением в объекте капитального строительства) предоставлены на срок не более одного года;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), расположенных в жилых помещениях многоквартирных домов;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при технологическом присоединении в границах территории Самарской области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 xml:space="preserve">), соответствующих критериям, указанным в </w:t>
      </w:r>
      <w:hyperlink r:id="rId19">
        <w:r>
          <w:rPr>
            <w:color w:val="0000FF"/>
          </w:rPr>
          <w:t>абзацах первом</w:t>
        </w:r>
      </w:hyperlink>
      <w:r>
        <w:t xml:space="preserve">, </w:t>
      </w:r>
      <w:hyperlink r:id="rId20">
        <w:r>
          <w:rPr>
            <w:color w:val="0000FF"/>
          </w:rPr>
          <w:t>четвертом</w:t>
        </w:r>
      </w:hyperlink>
      <w:r>
        <w:t xml:space="preserve">, </w:t>
      </w:r>
      <w:hyperlink r:id="rId21">
        <w:r>
          <w:rPr>
            <w:color w:val="0000FF"/>
          </w:rPr>
          <w:t>пятом</w:t>
        </w:r>
      </w:hyperlink>
      <w:r>
        <w:t xml:space="preserve">, </w:t>
      </w:r>
      <w:hyperlink r:id="rId22">
        <w:r>
          <w:rPr>
            <w:color w:val="0000FF"/>
          </w:rPr>
          <w:t>двадцатом</w:t>
        </w:r>
      </w:hyperlink>
      <w:r>
        <w:t xml:space="preserve"> и </w:t>
      </w:r>
      <w:hyperlink r:id="rId23">
        <w:r>
          <w:rPr>
            <w:color w:val="0000FF"/>
          </w:rPr>
          <w:t>двадцать шестом пункта 17</w:t>
        </w:r>
      </w:hyperlink>
      <w:r>
        <w:t xml:space="preserve"> Правил, если лицом, обратившимся с заявкой, ранее уже была подана заявка, которая не была аннулирована в соответствии с </w:t>
      </w:r>
      <w:hyperlink r:id="rId24">
        <w:r>
          <w:rPr>
            <w:color w:val="0000FF"/>
          </w:rPr>
          <w:t>Правилами</w:t>
        </w:r>
      </w:hyperlink>
      <w:r>
        <w:t xml:space="preserve">, или заключен договор в целях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), соответствующих указанным критериям, расположенных (предполагаемых к расположению в соответствии с поданной заявкой) в границах территории того же субъекта Российской Федерации, при условии, что со дня заключения такого договора не истекло 3 года;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 заявителей, указанных в </w:t>
      </w:r>
      <w:hyperlink r:id="rId25">
        <w:r>
          <w:rPr>
            <w:color w:val="0000FF"/>
          </w:rPr>
          <w:t>пункте 12(1)</w:t>
        </w:r>
      </w:hyperlink>
      <w:r>
        <w:t xml:space="preserve"> Правил, соответствующих критериям, указанным в </w:t>
      </w:r>
      <w:hyperlink r:id="rId26">
        <w:r>
          <w:rPr>
            <w:color w:val="0000FF"/>
          </w:rPr>
          <w:t>абзаце двадцать шестом пункта 17</w:t>
        </w:r>
      </w:hyperlink>
      <w:r>
        <w:t xml:space="preserve"> Правил, если они расположены (будут располагаться) в границах того же земельного участка (или в границах того же сервитута либо территории, используемой на основании разрешения без предоставления земельного участка или установления сервитута), на котором расположены (будут располагаться) </w:t>
      </w:r>
      <w:proofErr w:type="spellStart"/>
      <w:r>
        <w:t>энергопринимающие</w:t>
      </w:r>
      <w:proofErr w:type="spellEnd"/>
      <w:r>
        <w:t xml:space="preserve"> устройства, в отношении которых ранее уже была подана заявка, которая не была аннулирована в соответствии с Правилами, или заключен договор, предусматривающий установленные </w:t>
      </w:r>
      <w:hyperlink r:id="rId27">
        <w:r>
          <w:rPr>
            <w:color w:val="0000FF"/>
          </w:rPr>
          <w:t>абзацем двадцать шестым пункта 17</w:t>
        </w:r>
      </w:hyperlink>
      <w:r>
        <w:t xml:space="preserve"> Правил особенности расчета платы за технологическое присоединение, при условии, что со дня заключения такого договора не истекло 3 года.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3. Признать утратившими силу со дня вступления в силу настоящего приказа приказы департамента ценового и тарифного регулирования Самарской области: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lastRenderedPageBreak/>
        <w:t xml:space="preserve">- от 15.12.2023 </w:t>
      </w:r>
      <w:hyperlink r:id="rId28">
        <w:r>
          <w:rPr>
            <w:color w:val="0000FF"/>
          </w:rPr>
          <w:t>N 700</w:t>
        </w:r>
      </w:hyperlink>
      <w:r>
        <w:t xml:space="preserve"> "Об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области";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- от 14.02.2024 </w:t>
      </w:r>
      <w:hyperlink r:id="rId29">
        <w:r>
          <w:rPr>
            <w:color w:val="0000FF"/>
          </w:rPr>
          <w:t>N 45</w:t>
        </w:r>
      </w:hyperlink>
      <w:r>
        <w:t xml:space="preserve"> "О внесении изменений в приказ департамента ценового и тарифного регулирования Самарской области от 15.12.2023 N 700 "Об утверждении стандартизированных тарифных ставок, формулы платы за технологическое присоединение к электрическим сетям территориальных сетевых организаций Самарской области".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4. Контроль выполнения настоящего приказа возложить на заместителя руководителя департамента - руководителя управления регулирования электроэнергетики департамента ценового и тарифного регулирования Самарской области (</w:t>
      </w:r>
      <w:proofErr w:type="spellStart"/>
      <w:r>
        <w:t>Смурыгину</w:t>
      </w:r>
      <w:proofErr w:type="spellEnd"/>
      <w:r>
        <w:t>).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5. Опубликовать настоящий приказ в средствах массовой информации.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6. Настоящий приказ вступает в силу с 1 января 2025 года.</w:t>
      </w: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 департамента</w:t>
      </w:r>
    </w:p>
    <w:p w:rsidR="009170DA" w:rsidRDefault="009170DA">
      <w:pPr>
        <w:pStyle w:val="ConsPlusNormal"/>
        <w:jc w:val="right"/>
      </w:pPr>
      <w:r>
        <w:t>А.А.ГАРШИНА</w:t>
      </w: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right"/>
        <w:outlineLvl w:val="0"/>
      </w:pPr>
      <w:r>
        <w:t>Приложение N 1</w:t>
      </w:r>
    </w:p>
    <w:p w:rsidR="009170DA" w:rsidRDefault="009170DA">
      <w:pPr>
        <w:pStyle w:val="ConsPlusNormal"/>
        <w:jc w:val="right"/>
      </w:pPr>
      <w:r>
        <w:t>к приказу</w:t>
      </w:r>
    </w:p>
    <w:p w:rsidR="009170DA" w:rsidRDefault="009170DA">
      <w:pPr>
        <w:pStyle w:val="ConsPlusNormal"/>
        <w:jc w:val="right"/>
      </w:pPr>
      <w:r>
        <w:t>департамента ценового и</w:t>
      </w:r>
    </w:p>
    <w:p w:rsidR="009170DA" w:rsidRDefault="009170DA">
      <w:pPr>
        <w:pStyle w:val="ConsPlusNormal"/>
        <w:jc w:val="right"/>
      </w:pPr>
      <w:r>
        <w:t>тарифного регулирования</w:t>
      </w:r>
    </w:p>
    <w:p w:rsidR="009170DA" w:rsidRDefault="009170DA">
      <w:pPr>
        <w:pStyle w:val="ConsPlusNormal"/>
        <w:jc w:val="right"/>
      </w:pPr>
      <w:r>
        <w:t>Самарской области</w:t>
      </w:r>
    </w:p>
    <w:p w:rsidR="009170DA" w:rsidRDefault="009170DA">
      <w:pPr>
        <w:pStyle w:val="ConsPlusNormal"/>
        <w:jc w:val="right"/>
      </w:pPr>
      <w:r>
        <w:t>от 29 ноября 2024 г. N 479</w:t>
      </w: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Title"/>
        <w:jc w:val="center"/>
      </w:pPr>
      <w:bookmarkStart w:id="3" w:name="P58"/>
      <w:bookmarkEnd w:id="3"/>
      <w:r>
        <w:t>ЕДИНЫЕ СТАНДАРТИЗИРОВАННЫЕ ТАРИФНЫЕ СТАВКИ,</w:t>
      </w:r>
    </w:p>
    <w:p w:rsidR="009170DA" w:rsidRDefault="009170DA">
      <w:pPr>
        <w:pStyle w:val="ConsPlusTitle"/>
        <w:jc w:val="center"/>
      </w:pPr>
      <w:r>
        <w:t>ПРИМЕНЯЕМЫЕ ДЛЯ ОПРЕДЕЛЕНИЯ ПЛАТЫ ЗА ТЕХНОЛОГИЧЕСКОЕ</w:t>
      </w:r>
    </w:p>
    <w:p w:rsidR="009170DA" w:rsidRDefault="009170DA">
      <w:pPr>
        <w:pStyle w:val="ConsPlusTitle"/>
        <w:jc w:val="center"/>
      </w:pPr>
      <w:r>
        <w:t>ПРИСОЕДИНЕНИЕ ЭНЕРГОПРИНИМАЮЩИХ УСТРОЙСТВ ПОТРЕБИТЕЛЕЙ</w:t>
      </w:r>
    </w:p>
    <w:p w:rsidR="009170DA" w:rsidRDefault="009170DA">
      <w:pPr>
        <w:pStyle w:val="ConsPlusTitle"/>
        <w:jc w:val="center"/>
      </w:pPr>
      <w:r>
        <w:t>ЭЛЕКТРИЧЕСКОЙ ЭНЕРГИИ, ОБЪЕКТОВ ЭЛЕКТРОСЕТЕВОГО ХОЗЯЙСТВА</w:t>
      </w:r>
    </w:p>
    <w:p w:rsidR="009170DA" w:rsidRDefault="009170DA">
      <w:pPr>
        <w:pStyle w:val="ConsPlusTitle"/>
        <w:jc w:val="center"/>
      </w:pPr>
      <w:r>
        <w:t>К ЭЛЕКТРИЧЕСКИМ СЕТЯМ ТЕРРИТОРИАЛЬНЫХ СЕТЕВЫХ ОРГАНИЗАЦИЙ</w:t>
      </w:r>
    </w:p>
    <w:p w:rsidR="009170DA" w:rsidRDefault="009170DA">
      <w:pPr>
        <w:pStyle w:val="ConsPlusTitle"/>
        <w:jc w:val="center"/>
      </w:pPr>
      <w:r>
        <w:t>САМАРСКОЙ ОБЛАСТИ</w:t>
      </w:r>
    </w:p>
    <w:p w:rsidR="009170DA" w:rsidRDefault="009170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70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DA" w:rsidRDefault="009170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DA" w:rsidRDefault="009170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0DA" w:rsidRDefault="009170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0DA" w:rsidRDefault="009170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ценового и тарифного регулирования Самарской</w:t>
            </w:r>
          </w:p>
          <w:p w:rsidR="009170DA" w:rsidRDefault="009170DA">
            <w:pPr>
              <w:pStyle w:val="ConsPlusNormal"/>
              <w:jc w:val="center"/>
            </w:pPr>
            <w:r>
              <w:rPr>
                <w:color w:val="392C69"/>
              </w:rPr>
              <w:t>области от 30.07.2025 N 206)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DA" w:rsidRDefault="009170DA">
            <w:pPr>
              <w:pStyle w:val="ConsPlusNormal"/>
            </w:pPr>
          </w:p>
        </w:tc>
      </w:tr>
    </w:tbl>
    <w:p w:rsidR="009170DA" w:rsidRDefault="009170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701"/>
        <w:gridCol w:w="2778"/>
        <w:gridCol w:w="1587"/>
        <w:gridCol w:w="1644"/>
      </w:tblGrid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t>Обозначение</w:t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Ставка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1</w:t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</w:t>
            </w:r>
            <w:r>
              <w:lastRenderedPageBreak/>
              <w:t xml:space="preserve">объектов электросетевого хозяйства, принадлежащих сетевым организациям и иным лицам, по мероприятиям по подготовке и выдаче сетевой организацией технических условий и уведомлений об обеспечении сетевой организацией возможности присоединения к электрическим сетям Заявителям, указанным в </w:t>
            </w:r>
            <w:hyperlink r:id="rId31">
              <w:r>
                <w:rPr>
                  <w:color w:val="0000FF"/>
                </w:rPr>
                <w:t>абзаце шестом пункта 24</w:t>
              </w:r>
            </w:hyperlink>
            <w:r>
              <w:t xml:space="preserve"> Методических указаний (для постоянной и временной схемы электроснабжения)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lastRenderedPageBreak/>
              <w:t>рублей за одно присоединение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17616,82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1</w:t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по мероприятиям по подготовке и выдаче сетевой организацией технических условий и проверке сетевой организацией выполнения их Заявителями, указанными в </w:t>
            </w:r>
            <w:hyperlink r:id="rId32">
              <w:r>
                <w:rPr>
                  <w:color w:val="0000FF"/>
                </w:rPr>
                <w:t>абзаце седьмом пункта 24</w:t>
              </w:r>
            </w:hyperlink>
            <w:r>
              <w:t xml:space="preserve"> Методических указаний (для постоянной и временной схемы электроснабжения)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 за одно присоединение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26767,83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1.1</w:t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 (для </w:t>
            </w:r>
            <w:r>
              <w:lastRenderedPageBreak/>
              <w:t>постоянной и временной схемы электроснабжения)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lastRenderedPageBreak/>
              <w:t>рублей за одно присоединение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10641,55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1.2.1</w:t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Заявителям, указанным в </w:t>
            </w:r>
            <w:hyperlink r:id="rId33">
              <w:r>
                <w:rPr>
                  <w:color w:val="0000FF"/>
                </w:rPr>
                <w:t>абзаце шестом пункта 24</w:t>
              </w:r>
            </w:hyperlink>
            <w:r>
              <w:t xml:space="preserve"> Методических указаний (для постоянной и временной схемы электроснабжения)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 за одно присоединение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6975,27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t>С</w:t>
            </w:r>
            <w:r>
              <w:rPr>
                <w:vertAlign w:val="subscript"/>
              </w:rPr>
              <w:t>1.2.2</w:t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стандартизированная тарифная ставка на покрытие расходов на проверку выполнения технических условий Заявителями, указанными в </w:t>
            </w:r>
            <w:hyperlink r:id="rId34">
              <w:r>
                <w:rPr>
                  <w:color w:val="0000FF"/>
                </w:rPr>
                <w:t>абзаце седьмом пункта 24</w:t>
              </w:r>
            </w:hyperlink>
            <w:r>
              <w:t xml:space="preserve"> Методических указаний (для постоянной и временной схемы электроснабжения)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 за одно присоединение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16126,28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2.3.1.3.1.1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4422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5245841,14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2.3.1.3.2.1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74422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50 до 100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5121965,37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3414024,59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2.3.1.3.3.1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100 до 200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3874107,53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lastRenderedPageBreak/>
              <w:t>2.3.1.4.1.1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алюминиевым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3022935,74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2375979,14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2.3.1.4.2.1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алюминиевым проводом сечением от 50 до 100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2724220,49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2929374,28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2.3.1.4.3.1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воздушные линии на железобетонных опорах изолированным алюминиевым проводом сечением от 100 до 200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5257396,69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3.1.2.1.1.1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1491055,29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3.1.2.1.2.1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4817810,33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7163181,62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3.1.2.1.2.2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5461924,66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3.1.2.1.3.1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кабельные линии в траншеях многожильные с резиновой или </w:t>
            </w:r>
            <w:r>
              <w:lastRenderedPageBreak/>
              <w:t>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lastRenderedPageBreak/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15787608,81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3.1.2.1.3.2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13617182,86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3.1.2.2.1.1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>кабельные линии в траншеях многожильные с бумажной изоляцией сечением провода до 50 квадратных мм включительно с одним кабелем в траншее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1234387,34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3.1.2.2.2.1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>кабельные линии в траншеях многожильные с бумажной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6095130,07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3.1.2.2.3.1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кабельные линии в траншеях многожильные с бумажной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6674097,05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3.1.2.2.3.1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6381065,47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3.1.2.2.4.1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кабельные линии в траншеях многожильные с бумажной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6182530,33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5539901,73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3.6.2.1.1.1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</w:t>
            </w:r>
            <w:r>
              <w:lastRenderedPageBreak/>
              <w:t>провода до 50 квадратных мм включительно с одной трубой в скважине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lastRenderedPageBreak/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27542065,94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3.6.2.1.2.1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8867125,54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3.6.2.2.2.1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9501438,68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3.6.2.2.3.1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16061147,13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17072495,52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3.6.2.2.4.1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кабельные линии, прокладываемые методом горизонтального наклонного бурения, многожильные с бумажной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15459480,91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76580" cy="26225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рублей/км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19755456,06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61010" cy="26225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реклоузеры</w:t>
            </w:r>
            <w:proofErr w:type="spellEnd"/>
            <w:r>
              <w:t xml:space="preserve"> номинальным током до 100 </w:t>
            </w:r>
            <w:proofErr w:type="gramStart"/>
            <w:r>
              <w:t>А</w:t>
            </w:r>
            <w:proofErr w:type="gramEnd"/>
            <w:r>
              <w:t xml:space="preserve"> включительно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474981,93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377190" cy="26225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-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lastRenderedPageBreak/>
              <w:t>4.1.4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61010" cy="26225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реклоузеры</w:t>
            </w:r>
            <w:proofErr w:type="spellEnd"/>
            <w:r>
              <w:t xml:space="preserve"> номинальным током от 500 до 1000 </w:t>
            </w:r>
            <w:proofErr w:type="gramStart"/>
            <w:r>
              <w:t>А</w:t>
            </w:r>
            <w:proofErr w:type="gramEnd"/>
            <w:r>
              <w:t xml:space="preserve"> включительно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2715703,38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61010" cy="26225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линейные разъединители номинальным током до 100 </w:t>
            </w:r>
            <w:proofErr w:type="gramStart"/>
            <w:r>
              <w:t>А</w:t>
            </w:r>
            <w:proofErr w:type="gramEnd"/>
            <w:r>
              <w:t xml:space="preserve"> включительно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106590,69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61010" cy="26225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линейные разъединители номинальным током от 250 до 500 </w:t>
            </w:r>
            <w:proofErr w:type="gramStart"/>
            <w:r>
              <w:t>А</w:t>
            </w:r>
            <w:proofErr w:type="gramEnd"/>
            <w:r>
              <w:t xml:space="preserve"> включительно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90501,28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61010" cy="26225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линейные разъединители номинальным током от 500 до 1000 </w:t>
            </w:r>
            <w:proofErr w:type="gramStart"/>
            <w:r>
              <w:t>А</w:t>
            </w:r>
            <w:proofErr w:type="gramEnd"/>
            <w:r>
              <w:t xml:space="preserve"> включительно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99284,36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4.4.1.1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распределительные пункты (РП), за исключением комплектных распределительных устройств наружной установки (КРН, КРУН), номинальным током до 100 </w:t>
            </w:r>
            <w:proofErr w:type="gramStart"/>
            <w:r>
              <w:t>А</w:t>
            </w:r>
            <w:proofErr w:type="gramEnd"/>
            <w:r>
              <w:t xml:space="preserve"> включительно с количеством ячеек до 5 включительно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186973,22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4.4.4.1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61010" cy="26225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распределительные пункты (РП), за исключением комплектных распределительных устройств наружной установки (КРН, КРУН), номинальным током от 500 до 1000 </w:t>
            </w:r>
            <w:proofErr w:type="gramStart"/>
            <w:r>
              <w:t>А</w:t>
            </w:r>
            <w:proofErr w:type="gramEnd"/>
            <w:r>
              <w:t xml:space="preserve"> включительно с количеством ячеек до 5 включительно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рублей/шт.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5430709,08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5.1.1.1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92760" cy="26225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51210,12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5.1.1.2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92760" cy="26225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53668,92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5.1.2.1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92760" cy="26225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</w:t>
            </w:r>
            <w:r>
              <w:lastRenderedPageBreak/>
              <w:t xml:space="preserve">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lastRenderedPageBreak/>
              <w:t>рублей/кВт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20819,31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5.1.2.2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92760" cy="26225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22071,38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5.1.3.2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92760" cy="26225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10098,77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5.1.4.2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92760" cy="26225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250 до 400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5839,26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5.1.5.2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92760" cy="26225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4259,07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5.2.5.2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92760" cy="26225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14993,63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5.2.5.3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92760" cy="26225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400 до 630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19142,60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5.2.6.3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92760" cy="26225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</w:t>
            </w:r>
            <w:r>
              <w:lastRenderedPageBreak/>
              <w:t xml:space="preserve">более подстанции (за исключением РТП) мощностью от 630 до 1000 </w:t>
            </w:r>
            <w:proofErr w:type="spellStart"/>
            <w:r>
              <w:t>кВА</w:t>
            </w:r>
            <w:proofErr w:type="spellEnd"/>
            <w:r>
              <w:t xml:space="preserve"> включительно блочного типа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lastRenderedPageBreak/>
              <w:t>рублей/кВт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15021,46</w:t>
            </w:r>
          </w:p>
        </w:tc>
      </w:tr>
      <w:tr w:rsidR="009170DA"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5.2.7.2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513715" cy="26225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1000 </w:t>
            </w:r>
            <w:proofErr w:type="spellStart"/>
            <w:r>
              <w:t>кВА</w:t>
            </w:r>
            <w:proofErr w:type="spellEnd"/>
            <w:r>
              <w:t xml:space="preserve"> до 1250 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рублей/кВт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17468,80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 за точку учета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30268,13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8.2.1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 за точку учета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44603,25</w:t>
            </w:r>
          </w:p>
        </w:tc>
      </w:tr>
      <w:tr w:rsidR="009170DA">
        <w:tc>
          <w:tcPr>
            <w:tcW w:w="1338" w:type="dxa"/>
          </w:tcPr>
          <w:p w:rsidR="009170DA" w:rsidRDefault="009170DA">
            <w:pPr>
              <w:pStyle w:val="ConsPlusNormal"/>
              <w:jc w:val="center"/>
            </w:pPr>
            <w:r>
              <w:t>8.2.2</w:t>
            </w:r>
          </w:p>
        </w:tc>
        <w:tc>
          <w:tcPr>
            <w:tcW w:w="1701" w:type="dxa"/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681355" cy="262255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 w:rsidR="009170DA" w:rsidRDefault="009170DA">
            <w:pPr>
              <w:pStyle w:val="ConsPlusNormal"/>
              <w:jc w:val="center"/>
            </w:pPr>
            <w:r>
              <w:t xml:space="preserve">средства коммерческого учета электрической энергии (мощности) трехфазные </w:t>
            </w:r>
            <w:proofErr w:type="spellStart"/>
            <w:r>
              <w:t>полукосвенного</w:t>
            </w:r>
            <w:proofErr w:type="spellEnd"/>
            <w:r>
              <w:t xml:space="preserve"> включения</w:t>
            </w:r>
          </w:p>
        </w:tc>
        <w:tc>
          <w:tcPr>
            <w:tcW w:w="1587" w:type="dxa"/>
          </w:tcPr>
          <w:p w:rsidR="009170DA" w:rsidRDefault="009170DA">
            <w:pPr>
              <w:pStyle w:val="ConsPlusNormal"/>
              <w:jc w:val="center"/>
            </w:pPr>
            <w:r>
              <w:t>рублей за точку учета</w:t>
            </w:r>
          </w:p>
        </w:tc>
        <w:tc>
          <w:tcPr>
            <w:tcW w:w="1644" w:type="dxa"/>
          </w:tcPr>
          <w:p w:rsidR="009170DA" w:rsidRDefault="009170DA">
            <w:pPr>
              <w:pStyle w:val="ConsPlusNormal"/>
              <w:jc w:val="center"/>
            </w:pPr>
            <w:r>
              <w:t>50326,24</w:t>
            </w:r>
          </w:p>
        </w:tc>
      </w:tr>
      <w:tr w:rsidR="009170DA">
        <w:tc>
          <w:tcPr>
            <w:tcW w:w="133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8.2.3</w:t>
            </w:r>
          </w:p>
        </w:tc>
        <w:tc>
          <w:tcPr>
            <w:tcW w:w="1701" w:type="dxa"/>
            <w:tcBorders>
              <w:bottom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461010" cy="262255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587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рублей за точку учета</w:t>
            </w:r>
          </w:p>
        </w:tc>
        <w:tc>
          <w:tcPr>
            <w:tcW w:w="1644" w:type="dxa"/>
            <w:vMerge w:val="restart"/>
          </w:tcPr>
          <w:p w:rsidR="009170DA" w:rsidRDefault="009170DA">
            <w:pPr>
              <w:pStyle w:val="ConsPlusNormal"/>
              <w:jc w:val="center"/>
            </w:pPr>
            <w:r>
              <w:t>599017,69</w:t>
            </w:r>
          </w:p>
        </w:tc>
      </w:tr>
      <w:tr w:rsidR="009170DA">
        <w:tblPrEx>
          <w:tblBorders>
            <w:insideH w:val="nil"/>
          </w:tblBorders>
        </w:tblPrEx>
        <w:tc>
          <w:tcPr>
            <w:tcW w:w="133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9170DA" w:rsidRDefault="009170DA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387985" cy="262255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587" w:type="dxa"/>
            <w:vMerge/>
          </w:tcPr>
          <w:p w:rsidR="009170DA" w:rsidRDefault="009170DA">
            <w:pPr>
              <w:pStyle w:val="ConsPlusNormal"/>
            </w:pPr>
          </w:p>
        </w:tc>
        <w:tc>
          <w:tcPr>
            <w:tcW w:w="1644" w:type="dxa"/>
            <w:vMerge/>
          </w:tcPr>
          <w:p w:rsidR="009170DA" w:rsidRDefault="009170DA">
            <w:pPr>
              <w:pStyle w:val="ConsPlusNormal"/>
            </w:pPr>
          </w:p>
        </w:tc>
      </w:tr>
    </w:tbl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ind w:firstLine="540"/>
        <w:jc w:val="both"/>
      </w:pPr>
      <w:r>
        <w:t>Примечание.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 xml:space="preserve">Под временной схемой электроснабжения понимается схема электроснабжения </w:t>
      </w:r>
      <w:proofErr w:type="spellStart"/>
      <w:r>
        <w:t>энергопринимающих</w:t>
      </w:r>
      <w:proofErr w:type="spellEnd"/>
      <w:r>
        <w:t xml:space="preserve"> устройств потребителя электрической энергии, осуществившего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устройств, которая применяется в результате исполнения договора об осуществлении временного технологического присоединения к электрическим сетям, заключаемого на период осуществления мероприятий по технологическому присоединению </w:t>
      </w:r>
      <w:proofErr w:type="spellStart"/>
      <w:r>
        <w:t>энергопринимающих</w:t>
      </w:r>
      <w:proofErr w:type="spellEnd"/>
      <w:r>
        <w:t xml:space="preserve"> устройств с применением постоянной схемы электроснабжения, либо в результате исполнения договора об осуществлении временного технологического присоединения к электрическим сетям передвижных </w:t>
      </w:r>
      <w:proofErr w:type="spellStart"/>
      <w:r>
        <w:t>энергопринимающих</w:t>
      </w:r>
      <w:proofErr w:type="spellEnd"/>
      <w:r>
        <w:t xml:space="preserve"> устройств с максимальной мощностью до 150 кВт включительно.</w:t>
      </w: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right"/>
        <w:outlineLvl w:val="0"/>
      </w:pPr>
      <w:r>
        <w:lastRenderedPageBreak/>
        <w:t>Приложение N 2</w:t>
      </w:r>
    </w:p>
    <w:p w:rsidR="009170DA" w:rsidRDefault="009170DA">
      <w:pPr>
        <w:pStyle w:val="ConsPlusNormal"/>
        <w:jc w:val="right"/>
      </w:pPr>
      <w:r>
        <w:t>к приказу</w:t>
      </w:r>
    </w:p>
    <w:p w:rsidR="009170DA" w:rsidRDefault="009170DA">
      <w:pPr>
        <w:pStyle w:val="ConsPlusNormal"/>
        <w:jc w:val="right"/>
      </w:pPr>
      <w:r>
        <w:t>департамента ценового и</w:t>
      </w:r>
    </w:p>
    <w:p w:rsidR="009170DA" w:rsidRDefault="009170DA">
      <w:pPr>
        <w:pStyle w:val="ConsPlusNormal"/>
        <w:jc w:val="right"/>
      </w:pPr>
      <w:r>
        <w:t>тарифного регулирования</w:t>
      </w:r>
    </w:p>
    <w:p w:rsidR="009170DA" w:rsidRDefault="009170DA">
      <w:pPr>
        <w:pStyle w:val="ConsPlusNormal"/>
        <w:jc w:val="right"/>
      </w:pPr>
      <w:r>
        <w:t>Самарской области</w:t>
      </w:r>
    </w:p>
    <w:p w:rsidR="009170DA" w:rsidRDefault="009170DA">
      <w:pPr>
        <w:pStyle w:val="ConsPlusNormal"/>
        <w:jc w:val="right"/>
      </w:pPr>
      <w:r>
        <w:t>от 29 ноября 2024 г. N 479</w:t>
      </w: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Title"/>
        <w:jc w:val="center"/>
      </w:pPr>
      <w:bookmarkStart w:id="4" w:name="P359"/>
      <w:bookmarkEnd w:id="4"/>
      <w:r>
        <w:t>ФОРМУЛЫ</w:t>
      </w:r>
    </w:p>
    <w:p w:rsidR="009170DA" w:rsidRDefault="009170DA">
      <w:pPr>
        <w:pStyle w:val="ConsPlusTitle"/>
        <w:jc w:val="center"/>
      </w:pPr>
      <w:r>
        <w:t>ДЛЯ РАСЧЕТА ПЛАТЫ ЗА ТЕХНОЛОГИЧЕСКОЕ ПРИСОЕДИНЕНИЕ</w:t>
      </w:r>
    </w:p>
    <w:p w:rsidR="009170DA" w:rsidRDefault="009170DA">
      <w:pPr>
        <w:pStyle w:val="ConsPlusTitle"/>
        <w:jc w:val="center"/>
      </w:pPr>
      <w:r>
        <w:t>К ЭЛЕКТРИЧЕСКИМ СЕТЯМ ТЕРРИТОРИАЛЬНЫХ СЕТЕВЫХ ОРГАНИЗАЦИЙ</w:t>
      </w:r>
    </w:p>
    <w:p w:rsidR="009170DA" w:rsidRDefault="009170DA">
      <w:pPr>
        <w:pStyle w:val="ConsPlusTitle"/>
        <w:jc w:val="center"/>
      </w:pPr>
      <w:r>
        <w:t>САМАРСКОЙ ОБЛАСТИ</w:t>
      </w: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ind w:firstLine="540"/>
        <w:jc w:val="both"/>
      </w:pPr>
      <w:r>
        <w:t>1. Плата за технологическое присоединение Заявителя, при котором отсутствует необходимость реализации мероприятий "последней мили", рассчитывается по формуле:</w:t>
      </w: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center"/>
      </w:pPr>
      <w:proofErr w:type="spellStart"/>
      <w:r>
        <w:t>Р</w:t>
      </w:r>
      <w:r>
        <w:rPr>
          <w:vertAlign w:val="subscript"/>
        </w:rPr>
        <w:t>станд.ст</w:t>
      </w:r>
      <w:proofErr w:type="spellEnd"/>
      <w:r>
        <w:t xml:space="preserve"> = C</w:t>
      </w:r>
      <w:r>
        <w:rPr>
          <w:vertAlign w:val="subscript"/>
        </w:rPr>
        <w:t>1</w:t>
      </w:r>
      <w:r>
        <w:t xml:space="preserve"> + (C</w:t>
      </w:r>
      <w:r>
        <w:rPr>
          <w:vertAlign w:val="subscript"/>
        </w:rPr>
        <w:t>8i</w:t>
      </w:r>
      <w:r>
        <w:t xml:space="preserve"> x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), (руб.), (1)</w:t>
      </w: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ind w:firstLine="540"/>
        <w:jc w:val="both"/>
      </w:pPr>
      <w:r>
        <w:t>где:</w:t>
      </w:r>
    </w:p>
    <w:p w:rsidR="009170DA" w:rsidRDefault="009170DA">
      <w:pPr>
        <w:pStyle w:val="ConsPlusNormal"/>
        <w:spacing w:before="220"/>
        <w:ind w:firstLine="540"/>
        <w:jc w:val="both"/>
      </w:pPr>
      <w:proofErr w:type="spellStart"/>
      <w:r>
        <w:t>Р</w:t>
      </w:r>
      <w:r>
        <w:rPr>
          <w:vertAlign w:val="subscript"/>
        </w:rPr>
        <w:t>станд.ст</w:t>
      </w:r>
      <w:proofErr w:type="spellEnd"/>
      <w:r>
        <w:t xml:space="preserve"> - плата за технологическое присоединение;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C</w:t>
      </w:r>
      <w:r>
        <w:rPr>
          <w:vertAlign w:val="subscript"/>
        </w:rPr>
        <w:t>1</w:t>
      </w:r>
      <w:r>
        <w:t>, C</w:t>
      </w:r>
      <w:r>
        <w:rPr>
          <w:vertAlign w:val="subscript"/>
        </w:rPr>
        <w:t>8i</w:t>
      </w:r>
      <w:r>
        <w:t xml:space="preserve"> - стандартизированная тарифная </w:t>
      </w:r>
      <w:hyperlink w:anchor="P58">
        <w:r>
          <w:rPr>
            <w:color w:val="0000FF"/>
          </w:rPr>
          <w:t>ставка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9170DA" w:rsidRDefault="009170DA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количество точек учета.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2. Плата за технологическое присоединение Заявителя, при реализации которого предусматриваются мероприятия "последней мили", рассчитывается по формуле (в соответствии с техническими условиями):</w:t>
      </w:r>
    </w:p>
    <w:p w:rsidR="009170DA" w:rsidRDefault="009170DA">
      <w:pPr>
        <w:pStyle w:val="ConsPlusNormal"/>
        <w:jc w:val="both"/>
      </w:pPr>
    </w:p>
    <w:p w:rsidR="009170DA" w:rsidRPr="009170DA" w:rsidRDefault="009170DA">
      <w:pPr>
        <w:pStyle w:val="ConsPlusNormal"/>
        <w:jc w:val="center"/>
        <w:rPr>
          <w:lang w:val="en-US"/>
        </w:rPr>
      </w:pPr>
      <w:proofErr w:type="spellStart"/>
      <w:r>
        <w:t>Р</w:t>
      </w:r>
      <w:r>
        <w:rPr>
          <w:vertAlign w:val="subscript"/>
        </w:rPr>
        <w:t>станд</w:t>
      </w:r>
      <w:proofErr w:type="spellEnd"/>
      <w:r w:rsidRPr="009170DA">
        <w:rPr>
          <w:vertAlign w:val="subscript"/>
          <w:lang w:val="en-US"/>
        </w:rPr>
        <w:t>.</w:t>
      </w:r>
      <w:proofErr w:type="spellStart"/>
      <w:r>
        <w:rPr>
          <w:vertAlign w:val="subscript"/>
        </w:rPr>
        <w:t>ст</w:t>
      </w:r>
      <w:proofErr w:type="spellEnd"/>
      <w:r w:rsidRPr="009170DA">
        <w:rPr>
          <w:lang w:val="en-US"/>
        </w:rPr>
        <w:t xml:space="preserve"> = C</w:t>
      </w:r>
      <w:r w:rsidRPr="009170DA">
        <w:rPr>
          <w:vertAlign w:val="subscript"/>
          <w:lang w:val="en-US"/>
        </w:rPr>
        <w:t>1</w:t>
      </w:r>
      <w:r w:rsidRPr="009170DA">
        <w:rPr>
          <w:lang w:val="en-US"/>
        </w:rPr>
        <w:t xml:space="preserve"> + (C</w:t>
      </w:r>
      <w:r w:rsidRPr="009170DA">
        <w:rPr>
          <w:vertAlign w:val="subscript"/>
          <w:lang w:val="en-US"/>
        </w:rPr>
        <w:t xml:space="preserve">2i </w:t>
      </w:r>
      <w:r>
        <w:rPr>
          <w:vertAlign w:val="subscript"/>
        </w:rPr>
        <w:t>и</w:t>
      </w:r>
      <w:r w:rsidRPr="009170DA">
        <w:rPr>
          <w:vertAlign w:val="subscript"/>
          <w:lang w:val="en-US"/>
        </w:rPr>
        <w:t>(</w:t>
      </w:r>
      <w:r>
        <w:rPr>
          <w:vertAlign w:val="subscript"/>
        </w:rPr>
        <w:t>или</w:t>
      </w:r>
      <w:r w:rsidRPr="009170DA">
        <w:rPr>
          <w:vertAlign w:val="subscript"/>
          <w:lang w:val="en-US"/>
        </w:rPr>
        <w:t>)3i</w:t>
      </w:r>
      <w:r w:rsidRPr="009170DA">
        <w:rPr>
          <w:lang w:val="en-US"/>
        </w:rPr>
        <w:t xml:space="preserve"> x L</w:t>
      </w:r>
      <w:r w:rsidRPr="009170DA">
        <w:rPr>
          <w:vertAlign w:val="subscript"/>
          <w:lang w:val="en-US"/>
        </w:rPr>
        <w:t>i</w:t>
      </w:r>
      <w:r w:rsidRPr="009170DA">
        <w:rPr>
          <w:lang w:val="en-US"/>
        </w:rPr>
        <w:t>) + (C</w:t>
      </w:r>
      <w:r w:rsidRPr="009170DA">
        <w:rPr>
          <w:vertAlign w:val="subscript"/>
          <w:lang w:val="en-US"/>
        </w:rPr>
        <w:t>4i</w:t>
      </w:r>
      <w:r w:rsidRPr="009170DA">
        <w:rPr>
          <w:lang w:val="en-US"/>
        </w:rPr>
        <w:t xml:space="preserve"> x qi) +</w:t>
      </w:r>
    </w:p>
    <w:p w:rsidR="009170DA" w:rsidRPr="009170DA" w:rsidRDefault="009170DA">
      <w:pPr>
        <w:pStyle w:val="ConsPlusNormal"/>
        <w:jc w:val="both"/>
        <w:rPr>
          <w:lang w:val="en-US"/>
        </w:rPr>
      </w:pPr>
    </w:p>
    <w:p w:rsidR="009170DA" w:rsidRPr="009170DA" w:rsidRDefault="009170DA">
      <w:pPr>
        <w:pStyle w:val="ConsPlusNormal"/>
        <w:jc w:val="center"/>
        <w:rPr>
          <w:lang w:val="en-US"/>
        </w:rPr>
      </w:pPr>
      <w:r w:rsidRPr="009170DA">
        <w:rPr>
          <w:lang w:val="en-US"/>
        </w:rPr>
        <w:t>+ (C</w:t>
      </w:r>
      <w:r w:rsidRPr="009170DA">
        <w:rPr>
          <w:vertAlign w:val="subscript"/>
          <w:lang w:val="en-US"/>
        </w:rPr>
        <w:t>5i</w:t>
      </w:r>
      <w:r w:rsidRPr="009170DA">
        <w:rPr>
          <w:lang w:val="en-US"/>
        </w:rPr>
        <w:t xml:space="preserve"> x Ni) + (C</w:t>
      </w:r>
      <w:r w:rsidRPr="009170DA">
        <w:rPr>
          <w:vertAlign w:val="subscript"/>
          <w:lang w:val="en-US"/>
        </w:rPr>
        <w:t>7i</w:t>
      </w:r>
      <w:r w:rsidRPr="009170DA">
        <w:rPr>
          <w:lang w:val="en-US"/>
        </w:rPr>
        <w:t xml:space="preserve"> x Ni) + (C</w:t>
      </w:r>
      <w:r w:rsidRPr="009170DA">
        <w:rPr>
          <w:vertAlign w:val="subscript"/>
          <w:lang w:val="en-US"/>
        </w:rPr>
        <w:t>8i</w:t>
      </w:r>
      <w:r w:rsidRPr="009170DA">
        <w:rPr>
          <w:lang w:val="en-US"/>
        </w:rPr>
        <w:t xml:space="preserve"> x </w:t>
      </w:r>
      <w:proofErr w:type="spellStart"/>
      <w:r w:rsidRPr="009170DA">
        <w:rPr>
          <w:lang w:val="en-US"/>
        </w:rPr>
        <w:t>s</w:t>
      </w:r>
      <w:r w:rsidRPr="009170DA">
        <w:rPr>
          <w:vertAlign w:val="subscript"/>
          <w:lang w:val="en-US"/>
        </w:rPr>
        <w:t>i</w:t>
      </w:r>
      <w:proofErr w:type="spellEnd"/>
      <w:r w:rsidRPr="009170DA">
        <w:rPr>
          <w:lang w:val="en-US"/>
        </w:rPr>
        <w:t>), (</w:t>
      </w:r>
      <w:proofErr w:type="spellStart"/>
      <w:r>
        <w:t>руб</w:t>
      </w:r>
      <w:proofErr w:type="spellEnd"/>
      <w:r w:rsidRPr="009170DA">
        <w:rPr>
          <w:lang w:val="en-US"/>
        </w:rPr>
        <w:t>.), (2)</w:t>
      </w:r>
    </w:p>
    <w:p w:rsidR="009170DA" w:rsidRPr="009170DA" w:rsidRDefault="009170DA">
      <w:pPr>
        <w:pStyle w:val="ConsPlusNormal"/>
        <w:jc w:val="both"/>
        <w:rPr>
          <w:lang w:val="en-US"/>
        </w:rPr>
      </w:pPr>
    </w:p>
    <w:p w:rsidR="009170DA" w:rsidRDefault="009170DA">
      <w:pPr>
        <w:pStyle w:val="ConsPlusNormal"/>
        <w:ind w:firstLine="540"/>
        <w:jc w:val="both"/>
      </w:pPr>
      <w:r>
        <w:t>где:</w:t>
      </w:r>
    </w:p>
    <w:p w:rsidR="009170DA" w:rsidRDefault="009170DA">
      <w:pPr>
        <w:pStyle w:val="ConsPlusNormal"/>
        <w:spacing w:before="220"/>
        <w:ind w:firstLine="540"/>
        <w:jc w:val="both"/>
      </w:pPr>
      <w:proofErr w:type="spellStart"/>
      <w:r>
        <w:t>Р</w:t>
      </w:r>
      <w:r>
        <w:rPr>
          <w:vertAlign w:val="subscript"/>
        </w:rPr>
        <w:t>станд.ст</w:t>
      </w:r>
      <w:proofErr w:type="spellEnd"/>
      <w:r>
        <w:t xml:space="preserve"> - плата за технологическое присоединение;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C</w:t>
      </w:r>
      <w:r>
        <w:rPr>
          <w:vertAlign w:val="subscript"/>
        </w:rPr>
        <w:t>1</w:t>
      </w:r>
      <w:r>
        <w:t>, C</w:t>
      </w:r>
      <w:r>
        <w:rPr>
          <w:vertAlign w:val="subscript"/>
        </w:rPr>
        <w:t>2i</w:t>
      </w:r>
      <w:r>
        <w:t>, C</w:t>
      </w:r>
      <w:r>
        <w:rPr>
          <w:vertAlign w:val="subscript"/>
        </w:rPr>
        <w:t>3i</w:t>
      </w:r>
      <w:r>
        <w:t>, C</w:t>
      </w:r>
      <w:r>
        <w:rPr>
          <w:vertAlign w:val="subscript"/>
        </w:rPr>
        <w:t>4i</w:t>
      </w:r>
      <w:r>
        <w:t>, C</w:t>
      </w:r>
      <w:r>
        <w:rPr>
          <w:vertAlign w:val="subscript"/>
        </w:rPr>
        <w:t>5i</w:t>
      </w:r>
      <w:r>
        <w:t>, C</w:t>
      </w:r>
      <w:r>
        <w:rPr>
          <w:vertAlign w:val="subscript"/>
        </w:rPr>
        <w:t>7i</w:t>
      </w:r>
      <w:r>
        <w:t>, C</w:t>
      </w:r>
      <w:r>
        <w:rPr>
          <w:vertAlign w:val="subscript"/>
        </w:rPr>
        <w:t>8i</w:t>
      </w:r>
      <w:r>
        <w:t xml:space="preserve"> - стандартизированные тарифные </w:t>
      </w:r>
      <w:hyperlink w:anchor="P58">
        <w:r>
          <w:rPr>
            <w:color w:val="0000FF"/>
          </w:rPr>
          <w:t>ставки</w:t>
        </w:r>
      </w:hyperlink>
      <w:r>
        <w:t xml:space="preserve"> на соответствующем уровне напряжения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9170DA" w:rsidRDefault="009170DA">
      <w:pPr>
        <w:pStyle w:val="ConsPlusNormal"/>
        <w:spacing w:before="220"/>
        <w:ind w:firstLine="540"/>
        <w:jc w:val="both"/>
      </w:pPr>
      <w:proofErr w:type="spellStart"/>
      <w:r>
        <w:t>L</w:t>
      </w:r>
      <w:r>
        <w:rPr>
          <w:vertAlign w:val="subscript"/>
        </w:rPr>
        <w:t>i</w:t>
      </w:r>
      <w:proofErr w:type="spellEnd"/>
      <w:r>
        <w:t xml:space="preserve"> - суммарная протяженность воздушных и (или) кабельных линий на i-том уровне напряжения, строительство которых предусмотрено согласно выданным техническим условиям для технологического присоединения (км);</w:t>
      </w:r>
    </w:p>
    <w:p w:rsidR="009170DA" w:rsidRDefault="009170DA">
      <w:pPr>
        <w:pStyle w:val="ConsPlusNormal"/>
        <w:spacing w:before="220"/>
        <w:ind w:firstLine="540"/>
        <w:jc w:val="both"/>
      </w:pPr>
      <w:proofErr w:type="spellStart"/>
      <w:r>
        <w:t>qi</w:t>
      </w:r>
      <w:proofErr w:type="spellEnd"/>
      <w:r>
        <w:t xml:space="preserve"> - количество пунктов секционирования (</w:t>
      </w:r>
      <w:proofErr w:type="spellStart"/>
      <w:r>
        <w:t>реклоузеров</w:t>
      </w:r>
      <w:proofErr w:type="spellEnd"/>
      <w:r>
        <w:t>, распределительных пунктов, переключательных пунктов);</w:t>
      </w:r>
    </w:p>
    <w:p w:rsidR="009170DA" w:rsidRDefault="009170DA">
      <w:pPr>
        <w:pStyle w:val="ConsPlusNormal"/>
        <w:spacing w:before="220"/>
        <w:ind w:firstLine="540"/>
        <w:jc w:val="both"/>
      </w:pPr>
      <w:proofErr w:type="spellStart"/>
      <w:r>
        <w:t>Ni</w:t>
      </w:r>
      <w:proofErr w:type="spellEnd"/>
      <w:r>
        <w:t xml:space="preserve"> - объем максимальной мощности, указанный в заявке на технологическое присоединение Заявителем (кВт);</w:t>
      </w:r>
    </w:p>
    <w:p w:rsidR="009170DA" w:rsidRDefault="009170DA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количество точек учета.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t>Стандартизированные тарифные ставки C</w:t>
      </w:r>
      <w:r>
        <w:rPr>
          <w:vertAlign w:val="subscript"/>
        </w:rPr>
        <w:t>2</w:t>
      </w:r>
      <w:r>
        <w:t xml:space="preserve"> и C</w:t>
      </w:r>
      <w:r>
        <w:rPr>
          <w:vertAlign w:val="subscript"/>
        </w:rPr>
        <w:t>3</w:t>
      </w:r>
      <w:r>
        <w:t xml:space="preserve"> применяются к протяженности линий электропередачи по трассе.</w:t>
      </w:r>
    </w:p>
    <w:p w:rsidR="009170DA" w:rsidRDefault="009170DA">
      <w:pPr>
        <w:pStyle w:val="ConsPlusNormal"/>
        <w:spacing w:before="220"/>
        <w:ind w:firstLine="540"/>
        <w:jc w:val="both"/>
      </w:pPr>
      <w:r>
        <w:lastRenderedPageBreak/>
        <w:t>3. Плата за технологическое присоединение (Р</w:t>
      </w:r>
      <w:r>
        <w:rPr>
          <w:vertAlign w:val="subscript"/>
        </w:rPr>
        <w:t>до150кВт</w:t>
      </w:r>
      <w:r>
        <w:t xml:space="preserve">) для заявителя, осуществляющего технологическое присоединение своих </w:t>
      </w:r>
      <w:proofErr w:type="spellStart"/>
      <w:r>
        <w:t>энергопринимающих</w:t>
      </w:r>
      <w:proofErr w:type="spellEnd"/>
      <w:r>
        <w:t xml:space="preserve"> устройств максимальной мощностью не более 150 кВт, определяется по следующим формулам:</w:t>
      </w:r>
    </w:p>
    <w:p w:rsidR="009170DA" w:rsidRDefault="009170DA">
      <w:pPr>
        <w:pStyle w:val="ConsPlusNormal"/>
        <w:spacing w:before="220"/>
        <w:ind w:firstLine="540"/>
        <w:jc w:val="both"/>
      </w:pPr>
      <w:bookmarkStart w:id="5" w:name="P387"/>
      <w:bookmarkEnd w:id="5"/>
      <w:r>
        <w:t xml:space="preserve">а) для заявителя, указанного в </w:t>
      </w:r>
      <w:hyperlink r:id="rId97">
        <w:r>
          <w:rPr>
            <w:color w:val="0000FF"/>
          </w:rPr>
          <w:t>пункте 12(1)</w:t>
        </w:r>
      </w:hyperlink>
      <w:r>
        <w:t xml:space="preserve"> Правил, осуществляющего технологическое присоединение своих </w:t>
      </w:r>
      <w:proofErr w:type="spellStart"/>
      <w:r>
        <w:t>энергопринимающих</w:t>
      </w:r>
      <w:proofErr w:type="spellEnd"/>
      <w:r>
        <w:t xml:space="preserve"> устройств по третьей категории надежности (по одному источнику электроснабжения) к объектам электросетевого хозяйства сетевой организации на уровне напряжения 0,4 </w:t>
      </w:r>
      <w:proofErr w:type="spellStart"/>
      <w:r>
        <w:t>кВ</w:t>
      </w:r>
      <w:proofErr w:type="spellEnd"/>
      <w:r>
        <w:t xml:space="preserve"> и ниже, при условии, что расстояние от этих </w:t>
      </w:r>
      <w:proofErr w:type="spellStart"/>
      <w:r>
        <w:t>энергопринимающих</w:t>
      </w:r>
      <w:proofErr w:type="spellEnd"/>
      <w:r>
        <w:t xml:space="preserve">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местности:</w:t>
      </w:r>
    </w:p>
    <w:p w:rsidR="009170DA" w:rsidRDefault="009170DA">
      <w:pPr>
        <w:pStyle w:val="ConsPlusNormal"/>
        <w:jc w:val="both"/>
      </w:pPr>
    </w:p>
    <w:p w:rsidR="009170DA" w:rsidRPr="009170DA" w:rsidRDefault="009170DA">
      <w:pPr>
        <w:pStyle w:val="ConsPlusNormal"/>
        <w:jc w:val="center"/>
        <w:rPr>
          <w:lang w:val="en-US"/>
        </w:rPr>
      </w:pPr>
      <w:proofErr w:type="spellStart"/>
      <w:r>
        <w:t>Р</w:t>
      </w:r>
      <w:r>
        <w:rPr>
          <w:vertAlign w:val="subscript"/>
        </w:rPr>
        <w:t>до</w:t>
      </w:r>
      <w:proofErr w:type="spellEnd"/>
      <w:r w:rsidRPr="009170DA">
        <w:rPr>
          <w:vertAlign w:val="subscript"/>
          <w:lang w:val="en-US"/>
        </w:rPr>
        <w:t>150</w:t>
      </w:r>
      <w:r>
        <w:rPr>
          <w:vertAlign w:val="subscript"/>
        </w:rPr>
        <w:t>кВт</w:t>
      </w:r>
      <w:r w:rsidRPr="009170DA">
        <w:rPr>
          <w:lang w:val="en-US"/>
        </w:rPr>
        <w:t xml:space="preserve"> = C</w:t>
      </w:r>
      <w:r w:rsidRPr="009170DA">
        <w:rPr>
          <w:vertAlign w:val="subscript"/>
          <w:lang w:val="en-US"/>
        </w:rPr>
        <w:t>1</w:t>
      </w:r>
      <w:r w:rsidRPr="009170DA">
        <w:rPr>
          <w:lang w:val="en-US"/>
        </w:rPr>
        <w:t xml:space="preserve"> + (C</w:t>
      </w:r>
      <w:r w:rsidRPr="009170DA">
        <w:rPr>
          <w:vertAlign w:val="subscript"/>
          <w:lang w:val="en-US"/>
        </w:rPr>
        <w:t>8i</w:t>
      </w:r>
      <w:r w:rsidRPr="009170DA">
        <w:rPr>
          <w:lang w:val="en-US"/>
        </w:rPr>
        <w:t xml:space="preserve"> x </w:t>
      </w:r>
      <w:proofErr w:type="spellStart"/>
      <w:r w:rsidRPr="009170DA">
        <w:rPr>
          <w:lang w:val="en-US"/>
        </w:rPr>
        <w:t>s</w:t>
      </w:r>
      <w:r w:rsidRPr="009170DA">
        <w:rPr>
          <w:vertAlign w:val="subscript"/>
          <w:lang w:val="en-US"/>
        </w:rPr>
        <w:t>i</w:t>
      </w:r>
      <w:proofErr w:type="spellEnd"/>
      <w:r w:rsidRPr="009170DA">
        <w:rPr>
          <w:lang w:val="en-US"/>
        </w:rPr>
        <w:t>) (3);</w:t>
      </w:r>
    </w:p>
    <w:p w:rsidR="009170DA" w:rsidRPr="009170DA" w:rsidRDefault="009170DA">
      <w:pPr>
        <w:pStyle w:val="ConsPlusNormal"/>
        <w:jc w:val="both"/>
        <w:rPr>
          <w:lang w:val="en-US"/>
        </w:rPr>
      </w:pPr>
    </w:p>
    <w:p w:rsidR="009170DA" w:rsidRDefault="009170DA">
      <w:pPr>
        <w:pStyle w:val="ConsPlusNormal"/>
        <w:ind w:firstLine="540"/>
        <w:jc w:val="both"/>
      </w:pPr>
      <w:r>
        <w:t xml:space="preserve">б) для заявителя, не соответствующего критериям, указанным в </w:t>
      </w:r>
      <w:hyperlink w:anchor="P387">
        <w:r>
          <w:rPr>
            <w:color w:val="0000FF"/>
          </w:rPr>
          <w:t>подпункте "а"</w:t>
        </w:r>
      </w:hyperlink>
      <w:r>
        <w:t xml:space="preserve"> настоящего пункта:</w:t>
      </w:r>
    </w:p>
    <w:p w:rsidR="009170DA" w:rsidRDefault="009170DA">
      <w:pPr>
        <w:pStyle w:val="ConsPlusNormal"/>
        <w:jc w:val="both"/>
      </w:pPr>
    </w:p>
    <w:p w:rsidR="009170DA" w:rsidRPr="009170DA" w:rsidRDefault="009170DA">
      <w:pPr>
        <w:pStyle w:val="ConsPlusNormal"/>
        <w:jc w:val="center"/>
        <w:rPr>
          <w:lang w:val="en-US"/>
        </w:rPr>
      </w:pPr>
      <w:proofErr w:type="spellStart"/>
      <w:r>
        <w:t>Р</w:t>
      </w:r>
      <w:r>
        <w:rPr>
          <w:vertAlign w:val="subscript"/>
        </w:rPr>
        <w:t>до</w:t>
      </w:r>
      <w:proofErr w:type="spellEnd"/>
      <w:r w:rsidRPr="009170DA">
        <w:rPr>
          <w:vertAlign w:val="subscript"/>
          <w:lang w:val="en-US"/>
        </w:rPr>
        <w:t>150</w:t>
      </w:r>
      <w:r>
        <w:rPr>
          <w:vertAlign w:val="subscript"/>
        </w:rPr>
        <w:t>кВт</w:t>
      </w:r>
      <w:r w:rsidRPr="009170DA">
        <w:rPr>
          <w:lang w:val="en-US"/>
        </w:rPr>
        <w:t xml:space="preserve"> = C</w:t>
      </w:r>
      <w:r w:rsidRPr="009170DA">
        <w:rPr>
          <w:vertAlign w:val="subscript"/>
          <w:lang w:val="en-US"/>
        </w:rPr>
        <w:t>1</w:t>
      </w:r>
      <w:r w:rsidRPr="009170DA">
        <w:rPr>
          <w:lang w:val="en-US"/>
        </w:rPr>
        <w:t xml:space="preserve"> + (C</w:t>
      </w:r>
      <w:r w:rsidRPr="009170DA">
        <w:rPr>
          <w:vertAlign w:val="subscript"/>
          <w:lang w:val="en-US"/>
        </w:rPr>
        <w:t xml:space="preserve">2i </w:t>
      </w:r>
      <w:r>
        <w:rPr>
          <w:vertAlign w:val="subscript"/>
        </w:rPr>
        <w:t>и</w:t>
      </w:r>
      <w:r w:rsidRPr="009170DA">
        <w:rPr>
          <w:vertAlign w:val="subscript"/>
          <w:lang w:val="en-US"/>
        </w:rPr>
        <w:t>(</w:t>
      </w:r>
      <w:r>
        <w:rPr>
          <w:vertAlign w:val="subscript"/>
        </w:rPr>
        <w:t>или</w:t>
      </w:r>
      <w:r w:rsidRPr="009170DA">
        <w:rPr>
          <w:vertAlign w:val="subscript"/>
          <w:lang w:val="en-US"/>
        </w:rPr>
        <w:t>)3i</w:t>
      </w:r>
      <w:r w:rsidRPr="009170DA">
        <w:rPr>
          <w:lang w:val="en-US"/>
        </w:rPr>
        <w:t xml:space="preserve"> x L</w:t>
      </w:r>
      <w:r w:rsidRPr="009170DA">
        <w:rPr>
          <w:vertAlign w:val="subscript"/>
          <w:lang w:val="en-US"/>
        </w:rPr>
        <w:t>i</w:t>
      </w:r>
      <w:r w:rsidRPr="009170DA">
        <w:rPr>
          <w:lang w:val="en-US"/>
        </w:rPr>
        <w:t>) + (C</w:t>
      </w:r>
      <w:r w:rsidRPr="009170DA">
        <w:rPr>
          <w:vertAlign w:val="subscript"/>
          <w:lang w:val="en-US"/>
        </w:rPr>
        <w:t>4i</w:t>
      </w:r>
      <w:r w:rsidRPr="009170DA">
        <w:rPr>
          <w:lang w:val="en-US"/>
        </w:rPr>
        <w:t xml:space="preserve"> x qi) +</w:t>
      </w:r>
    </w:p>
    <w:p w:rsidR="009170DA" w:rsidRPr="009170DA" w:rsidRDefault="009170DA">
      <w:pPr>
        <w:pStyle w:val="ConsPlusNormal"/>
        <w:jc w:val="both"/>
        <w:rPr>
          <w:lang w:val="en-US"/>
        </w:rPr>
      </w:pPr>
    </w:p>
    <w:p w:rsidR="009170DA" w:rsidRPr="009170DA" w:rsidRDefault="009170DA">
      <w:pPr>
        <w:pStyle w:val="ConsPlusNormal"/>
        <w:jc w:val="center"/>
        <w:rPr>
          <w:lang w:val="en-US"/>
        </w:rPr>
      </w:pPr>
      <w:r w:rsidRPr="009170DA">
        <w:rPr>
          <w:lang w:val="en-US"/>
        </w:rPr>
        <w:t>+ (C</w:t>
      </w:r>
      <w:r w:rsidRPr="009170DA">
        <w:rPr>
          <w:vertAlign w:val="subscript"/>
          <w:lang w:val="en-US"/>
        </w:rPr>
        <w:t>5i</w:t>
      </w:r>
      <w:r w:rsidRPr="009170DA">
        <w:rPr>
          <w:lang w:val="en-US"/>
        </w:rPr>
        <w:t xml:space="preserve"> x Ni) + (C</w:t>
      </w:r>
      <w:r w:rsidRPr="009170DA">
        <w:rPr>
          <w:vertAlign w:val="subscript"/>
          <w:lang w:val="en-US"/>
        </w:rPr>
        <w:t>7i</w:t>
      </w:r>
      <w:r w:rsidRPr="009170DA">
        <w:rPr>
          <w:lang w:val="en-US"/>
        </w:rPr>
        <w:t xml:space="preserve"> x Ni) + (C</w:t>
      </w:r>
      <w:r w:rsidRPr="009170DA">
        <w:rPr>
          <w:vertAlign w:val="subscript"/>
          <w:lang w:val="en-US"/>
        </w:rPr>
        <w:t>8i</w:t>
      </w:r>
      <w:r w:rsidRPr="009170DA">
        <w:rPr>
          <w:lang w:val="en-US"/>
        </w:rPr>
        <w:t xml:space="preserve"> x </w:t>
      </w:r>
      <w:proofErr w:type="spellStart"/>
      <w:r w:rsidRPr="009170DA">
        <w:rPr>
          <w:lang w:val="en-US"/>
        </w:rPr>
        <w:t>s</w:t>
      </w:r>
      <w:r w:rsidRPr="009170DA">
        <w:rPr>
          <w:vertAlign w:val="subscript"/>
          <w:lang w:val="en-US"/>
        </w:rPr>
        <w:t>i</w:t>
      </w:r>
      <w:proofErr w:type="spellEnd"/>
      <w:r w:rsidRPr="009170DA">
        <w:rPr>
          <w:lang w:val="en-US"/>
        </w:rPr>
        <w:t>) (4).</w:t>
      </w:r>
    </w:p>
    <w:p w:rsidR="009170DA" w:rsidRPr="009170DA" w:rsidRDefault="009170DA">
      <w:pPr>
        <w:pStyle w:val="ConsPlusNormal"/>
        <w:jc w:val="both"/>
        <w:rPr>
          <w:lang w:val="en-US"/>
        </w:rPr>
      </w:pPr>
    </w:p>
    <w:p w:rsidR="009170DA" w:rsidRDefault="009170DA">
      <w:pPr>
        <w:pStyle w:val="ConsPlusNormal"/>
        <w:ind w:firstLine="540"/>
        <w:jc w:val="both"/>
      </w:pPr>
      <w:r>
        <w:t xml:space="preserve">4. Плата за технологическое присоединение Заявителя в случае, если при технологическом присоединении согласно техническим условиям срок выполнения мероприятий по технологическому присоединению предусмотрен на период больше одного года, рассчитывается в соответствии с </w:t>
      </w:r>
      <w:hyperlink r:id="rId9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"г"</w:t>
        </w:r>
      </w:hyperlink>
      <w:r>
        <w:t xml:space="preserve">, </w:t>
      </w:r>
      <w:hyperlink r:id="rId99">
        <w:r>
          <w:rPr>
            <w:color w:val="0000FF"/>
          </w:rPr>
          <w:t>"д" п. 32</w:t>
        </w:r>
      </w:hyperlink>
      <w:r>
        <w:t xml:space="preserve"> Методических указаний.</w:t>
      </w: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jc w:val="both"/>
      </w:pPr>
    </w:p>
    <w:p w:rsidR="009170DA" w:rsidRDefault="009170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2549" w:rsidRDefault="009170DA"/>
    <w:sectPr w:rsidR="00632549" w:rsidSect="0047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DA"/>
    <w:rsid w:val="000D33F4"/>
    <w:rsid w:val="002A74DF"/>
    <w:rsid w:val="007B41D5"/>
    <w:rsid w:val="0091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29762-0543-46FB-8C73-8BA81376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70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5192&amp;dst=101508" TargetMode="External"/><Relationship Id="rId21" Type="http://schemas.openxmlformats.org/officeDocument/2006/relationships/hyperlink" Target="https://login.consultant.ru/link/?req=doc&amp;base=LAW&amp;n=495192&amp;dst=101487" TargetMode="External"/><Relationship Id="rId34" Type="http://schemas.openxmlformats.org/officeDocument/2006/relationships/hyperlink" Target="https://login.consultant.ru/link/?req=doc&amp;base=LAW&amp;n=495525&amp;dst=100097" TargetMode="External"/><Relationship Id="rId42" Type="http://schemas.openxmlformats.org/officeDocument/2006/relationships/image" Target="media/image8.wmf"/><Relationship Id="rId47" Type="http://schemas.openxmlformats.org/officeDocument/2006/relationships/image" Target="media/image13.wmf"/><Relationship Id="rId50" Type="http://schemas.openxmlformats.org/officeDocument/2006/relationships/image" Target="media/image16.wmf"/><Relationship Id="rId55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4.wmf"/><Relationship Id="rId76" Type="http://schemas.openxmlformats.org/officeDocument/2006/relationships/image" Target="media/image42.wmf"/><Relationship Id="rId84" Type="http://schemas.openxmlformats.org/officeDocument/2006/relationships/image" Target="media/image50.wmf"/><Relationship Id="rId89" Type="http://schemas.openxmlformats.org/officeDocument/2006/relationships/image" Target="media/image55.wmf"/><Relationship Id="rId97" Type="http://schemas.openxmlformats.org/officeDocument/2006/relationships/hyperlink" Target="https://login.consultant.ru/link/?req=doc&amp;base=LAW&amp;n=495192&amp;dst=101304" TargetMode="External"/><Relationship Id="rId7" Type="http://schemas.openxmlformats.org/officeDocument/2006/relationships/hyperlink" Target="https://login.consultant.ru/link/?req=doc&amp;base=LAW&amp;n=483415&amp;dst=1259" TargetMode="External"/><Relationship Id="rId71" Type="http://schemas.openxmlformats.org/officeDocument/2006/relationships/image" Target="media/image37.wmf"/><Relationship Id="rId92" Type="http://schemas.openxmlformats.org/officeDocument/2006/relationships/image" Target="media/image58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92&amp;dst=101493" TargetMode="External"/><Relationship Id="rId29" Type="http://schemas.openxmlformats.org/officeDocument/2006/relationships/hyperlink" Target="https://login.consultant.ru/link/?req=doc&amp;base=RLAW256&amp;n=179786" TargetMode="External"/><Relationship Id="rId11" Type="http://schemas.openxmlformats.org/officeDocument/2006/relationships/hyperlink" Target="https://login.consultant.ru/link/?req=doc&amp;base=RLAW256&amp;n=192886&amp;dst=100368" TargetMode="External"/><Relationship Id="rId24" Type="http://schemas.openxmlformats.org/officeDocument/2006/relationships/hyperlink" Target="https://login.consultant.ru/link/?req=doc&amp;base=LAW&amp;n=495192" TargetMode="External"/><Relationship Id="rId32" Type="http://schemas.openxmlformats.org/officeDocument/2006/relationships/hyperlink" Target="https://login.consultant.ru/link/?req=doc&amp;base=LAW&amp;n=495525&amp;dst=100097" TargetMode="External"/><Relationship Id="rId37" Type="http://schemas.openxmlformats.org/officeDocument/2006/relationships/image" Target="media/image3.wmf"/><Relationship Id="rId40" Type="http://schemas.openxmlformats.org/officeDocument/2006/relationships/image" Target="media/image6.wmf"/><Relationship Id="rId45" Type="http://schemas.openxmlformats.org/officeDocument/2006/relationships/image" Target="media/image11.wmf"/><Relationship Id="rId53" Type="http://schemas.openxmlformats.org/officeDocument/2006/relationships/image" Target="media/image19.wmf"/><Relationship Id="rId58" Type="http://schemas.openxmlformats.org/officeDocument/2006/relationships/image" Target="media/image24.wmf"/><Relationship Id="rId66" Type="http://schemas.openxmlformats.org/officeDocument/2006/relationships/image" Target="media/image32.wmf"/><Relationship Id="rId74" Type="http://schemas.openxmlformats.org/officeDocument/2006/relationships/image" Target="media/image40.wmf"/><Relationship Id="rId79" Type="http://schemas.openxmlformats.org/officeDocument/2006/relationships/image" Target="media/image45.wmf"/><Relationship Id="rId87" Type="http://schemas.openxmlformats.org/officeDocument/2006/relationships/image" Target="media/image53.wmf"/><Relationship Id="rId5" Type="http://schemas.openxmlformats.org/officeDocument/2006/relationships/hyperlink" Target="https://login.consultant.ru/link/?req=doc&amp;base=RLAW256&amp;n=199000&amp;dst=100006" TargetMode="External"/><Relationship Id="rId61" Type="http://schemas.openxmlformats.org/officeDocument/2006/relationships/image" Target="media/image27.wmf"/><Relationship Id="rId82" Type="http://schemas.openxmlformats.org/officeDocument/2006/relationships/image" Target="media/image48.wmf"/><Relationship Id="rId90" Type="http://schemas.openxmlformats.org/officeDocument/2006/relationships/image" Target="media/image56.wmf"/><Relationship Id="rId95" Type="http://schemas.openxmlformats.org/officeDocument/2006/relationships/image" Target="media/image61.wmf"/><Relationship Id="rId19" Type="http://schemas.openxmlformats.org/officeDocument/2006/relationships/hyperlink" Target="https://login.consultant.ru/link/?req=doc&amp;base=LAW&amp;n=495192&amp;dst=101483" TargetMode="External"/><Relationship Id="rId14" Type="http://schemas.openxmlformats.org/officeDocument/2006/relationships/hyperlink" Target="https://login.consultant.ru/link/?req=doc&amp;base=LAW&amp;n=495192&amp;dst=101493" TargetMode="External"/><Relationship Id="rId22" Type="http://schemas.openxmlformats.org/officeDocument/2006/relationships/hyperlink" Target="https://login.consultant.ru/link/?req=doc&amp;base=LAW&amp;n=495192&amp;dst=101930" TargetMode="External"/><Relationship Id="rId27" Type="http://schemas.openxmlformats.org/officeDocument/2006/relationships/hyperlink" Target="https://login.consultant.ru/link/?req=doc&amp;base=LAW&amp;n=495192&amp;dst=101508" TargetMode="External"/><Relationship Id="rId30" Type="http://schemas.openxmlformats.org/officeDocument/2006/relationships/hyperlink" Target="https://login.consultant.ru/link/?req=doc&amp;base=RLAW256&amp;n=201495&amp;dst=100006" TargetMode="External"/><Relationship Id="rId35" Type="http://schemas.openxmlformats.org/officeDocument/2006/relationships/image" Target="media/image1.wmf"/><Relationship Id="rId43" Type="http://schemas.openxmlformats.org/officeDocument/2006/relationships/image" Target="media/image9.wmf"/><Relationship Id="rId48" Type="http://schemas.openxmlformats.org/officeDocument/2006/relationships/image" Target="media/image14.wmf"/><Relationship Id="rId56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5.wmf"/><Relationship Id="rId77" Type="http://schemas.openxmlformats.org/officeDocument/2006/relationships/image" Target="media/image43.wmf"/><Relationship Id="rId100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9200&amp;dst=394" TargetMode="External"/><Relationship Id="rId51" Type="http://schemas.openxmlformats.org/officeDocument/2006/relationships/image" Target="media/image17.wmf"/><Relationship Id="rId72" Type="http://schemas.openxmlformats.org/officeDocument/2006/relationships/image" Target="media/image38.wmf"/><Relationship Id="rId80" Type="http://schemas.openxmlformats.org/officeDocument/2006/relationships/image" Target="media/image46.wmf"/><Relationship Id="rId85" Type="http://schemas.openxmlformats.org/officeDocument/2006/relationships/image" Target="media/image51.wmf"/><Relationship Id="rId93" Type="http://schemas.openxmlformats.org/officeDocument/2006/relationships/image" Target="media/image59.wmf"/><Relationship Id="rId98" Type="http://schemas.openxmlformats.org/officeDocument/2006/relationships/hyperlink" Target="https://login.consultant.ru/link/?req=doc&amp;base=LAW&amp;n=495525&amp;dst=10026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5192&amp;dst=101486" TargetMode="External"/><Relationship Id="rId17" Type="http://schemas.openxmlformats.org/officeDocument/2006/relationships/hyperlink" Target="https://login.consultant.ru/link/?req=doc&amp;base=LAW&amp;n=495192&amp;dst=101501" TargetMode="External"/><Relationship Id="rId25" Type="http://schemas.openxmlformats.org/officeDocument/2006/relationships/hyperlink" Target="https://login.consultant.ru/link/?req=doc&amp;base=LAW&amp;n=495192&amp;dst=101304" TargetMode="External"/><Relationship Id="rId33" Type="http://schemas.openxmlformats.org/officeDocument/2006/relationships/hyperlink" Target="https://login.consultant.ru/link/?req=doc&amp;base=LAW&amp;n=495525&amp;dst=100096" TargetMode="External"/><Relationship Id="rId38" Type="http://schemas.openxmlformats.org/officeDocument/2006/relationships/image" Target="media/image4.wmf"/><Relationship Id="rId46" Type="http://schemas.openxmlformats.org/officeDocument/2006/relationships/image" Target="media/image12.wmf"/><Relationship Id="rId59" Type="http://schemas.openxmlformats.org/officeDocument/2006/relationships/image" Target="media/image25.wmf"/><Relationship Id="rId67" Type="http://schemas.openxmlformats.org/officeDocument/2006/relationships/image" Target="media/image33.wmf"/><Relationship Id="rId20" Type="http://schemas.openxmlformats.org/officeDocument/2006/relationships/hyperlink" Target="https://login.consultant.ru/link/?req=doc&amp;base=LAW&amp;n=495192&amp;dst=101486" TargetMode="External"/><Relationship Id="rId41" Type="http://schemas.openxmlformats.org/officeDocument/2006/relationships/image" Target="media/image7.wmf"/><Relationship Id="rId54" Type="http://schemas.openxmlformats.org/officeDocument/2006/relationships/image" Target="media/image20.wmf"/><Relationship Id="rId62" Type="http://schemas.openxmlformats.org/officeDocument/2006/relationships/image" Target="media/image28.wmf"/><Relationship Id="rId70" Type="http://schemas.openxmlformats.org/officeDocument/2006/relationships/image" Target="media/image36.wmf"/><Relationship Id="rId75" Type="http://schemas.openxmlformats.org/officeDocument/2006/relationships/image" Target="media/image41.wmf"/><Relationship Id="rId83" Type="http://schemas.openxmlformats.org/officeDocument/2006/relationships/image" Target="media/image49.wmf"/><Relationship Id="rId88" Type="http://schemas.openxmlformats.org/officeDocument/2006/relationships/image" Target="media/image54.wmf"/><Relationship Id="rId91" Type="http://schemas.openxmlformats.org/officeDocument/2006/relationships/image" Target="media/image57.wmf"/><Relationship Id="rId96" Type="http://schemas.openxmlformats.org/officeDocument/2006/relationships/image" Target="media/image62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201495&amp;dst=100006" TargetMode="External"/><Relationship Id="rId15" Type="http://schemas.openxmlformats.org/officeDocument/2006/relationships/hyperlink" Target="https://login.consultant.ru/link/?req=doc&amp;base=LAW&amp;n=495192&amp;dst=101501" TargetMode="External"/><Relationship Id="rId23" Type="http://schemas.openxmlformats.org/officeDocument/2006/relationships/hyperlink" Target="https://login.consultant.ru/link/?req=doc&amp;base=LAW&amp;n=495192&amp;dst=101508" TargetMode="External"/><Relationship Id="rId28" Type="http://schemas.openxmlformats.org/officeDocument/2006/relationships/hyperlink" Target="https://login.consultant.ru/link/?req=doc&amp;base=RLAW256&amp;n=192289" TargetMode="External"/><Relationship Id="rId36" Type="http://schemas.openxmlformats.org/officeDocument/2006/relationships/image" Target="media/image2.wmf"/><Relationship Id="rId49" Type="http://schemas.openxmlformats.org/officeDocument/2006/relationships/image" Target="media/image15.wmf"/><Relationship Id="rId57" Type="http://schemas.openxmlformats.org/officeDocument/2006/relationships/image" Target="media/image23.wmf"/><Relationship Id="rId10" Type="http://schemas.openxmlformats.org/officeDocument/2006/relationships/hyperlink" Target="https://login.consultant.ru/link/?req=doc&amp;base=LAW&amp;n=495525&amp;dst=100017" TargetMode="External"/><Relationship Id="rId31" Type="http://schemas.openxmlformats.org/officeDocument/2006/relationships/hyperlink" Target="https://login.consultant.ru/link/?req=doc&amp;base=LAW&amp;n=495525&amp;dst=100096" TargetMode="External"/><Relationship Id="rId44" Type="http://schemas.openxmlformats.org/officeDocument/2006/relationships/image" Target="media/image10.wmf"/><Relationship Id="rId52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image" Target="media/image31.wmf"/><Relationship Id="rId73" Type="http://schemas.openxmlformats.org/officeDocument/2006/relationships/image" Target="media/image39.wmf"/><Relationship Id="rId78" Type="http://schemas.openxmlformats.org/officeDocument/2006/relationships/image" Target="media/image44.wmf"/><Relationship Id="rId81" Type="http://schemas.openxmlformats.org/officeDocument/2006/relationships/image" Target="media/image47.wmf"/><Relationship Id="rId86" Type="http://schemas.openxmlformats.org/officeDocument/2006/relationships/image" Target="media/image52.wmf"/><Relationship Id="rId94" Type="http://schemas.openxmlformats.org/officeDocument/2006/relationships/image" Target="media/image60.wmf"/><Relationship Id="rId99" Type="http://schemas.openxmlformats.org/officeDocument/2006/relationships/hyperlink" Target="https://login.consultant.ru/link/?req=doc&amp;base=LAW&amp;n=495525&amp;dst=100269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192" TargetMode="External"/><Relationship Id="rId13" Type="http://schemas.openxmlformats.org/officeDocument/2006/relationships/hyperlink" Target="https://login.consultant.ru/link/?req=doc&amp;base=LAW&amp;n=495192&amp;dst=101487" TargetMode="External"/><Relationship Id="rId18" Type="http://schemas.openxmlformats.org/officeDocument/2006/relationships/hyperlink" Target="https://login.consultant.ru/link/?req=doc&amp;base=LAW&amp;n=495192&amp;dst=101304" TargetMode="External"/><Relationship Id="rId3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4247</Words>
  <Characters>24210</Characters>
  <Application>Microsoft Office Word</Application>
  <DocSecurity>0</DocSecurity>
  <Lines>201</Lines>
  <Paragraphs>56</Paragraphs>
  <ScaleCrop>false</ScaleCrop>
  <Company/>
  <LinksUpToDate>false</LinksUpToDate>
  <CharactersWithSpaces>28401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Крашенинникова Наталья</dc:creator>
  <cp:keywords/>
  <dc:description/>
  <cp:lastModifiedBy>Крашенинникова Наталья</cp:lastModifiedBy>
  <cp:revision>1</cp:revision>
  <dcterms:created xsi:type="dcterms:W3CDTF">2025-08-22T06:09:00Z</dcterms:created>
  <dcterms:modified xsi:type="dcterms:W3CDTF">2025-08-22T06:11:00Z</dcterms:modified>
</cp:coreProperties>
</file>